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6A15024" w14:textId="4EE91CD8" w:rsidR="000A335B" w:rsidRPr="001F3166" w:rsidRDefault="000A335B" w:rsidP="000A335B">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9B4636">
        <w:rPr>
          <w:rFonts w:eastAsia="Malgun Gothic"/>
          <w:noProof w:val="0"/>
          <w:sz w:val="24"/>
          <w:szCs w:val="24"/>
          <w:lang w:val="de-DE" w:eastAsia="ko-KR"/>
        </w:rPr>
        <w:t>514</w:t>
      </w:r>
    </w:p>
    <w:bookmarkEnd w:id="0"/>
    <w:bookmarkEnd w:id="1"/>
    <w:p w14:paraId="0EB30681" w14:textId="2A400602" w:rsidR="002E7C85" w:rsidRPr="0090404B" w:rsidRDefault="000A335B" w:rsidP="000A335B">
      <w:pPr>
        <w:pStyle w:val="Header"/>
        <w:spacing w:after="240"/>
        <w:rPr>
          <w:noProof w:val="0"/>
          <w:sz w:val="24"/>
          <w:szCs w:val="24"/>
          <w:lang w:val="en-US"/>
        </w:rPr>
      </w:pPr>
      <w:r>
        <w:rPr>
          <w:rFonts w:cs="Arial"/>
          <w:bCs/>
          <w:sz w:val="24"/>
          <w:szCs w:val="24"/>
          <w:lang w:eastAsia="ja-JP"/>
        </w:rPr>
        <w:t>Prague</w:t>
      </w:r>
      <w:r>
        <w:rPr>
          <w:rFonts w:cs="Arial"/>
          <w:bCs/>
          <w:sz w:val="24"/>
          <w:szCs w:val="24"/>
        </w:rPr>
        <w:t>, Czech Republic, August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Pr>
          <w:rFonts w:cs="Arial"/>
          <w:bCs/>
          <w:sz w:val="24"/>
          <w:szCs w:val="24"/>
        </w:rPr>
        <w:t xml:space="preserve">, </w:t>
      </w:r>
      <w:r w:rsidR="00922A6F">
        <w:rPr>
          <w:rFonts w:cs="Arial"/>
          <w:bCs/>
          <w:sz w:val="24"/>
          <w:szCs w:val="24"/>
        </w:rPr>
        <w:t>2019</w:t>
      </w:r>
    </w:p>
    <w:p w14:paraId="050D2928"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7BD2A56C" w14:textId="4C7F699F"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B270CC">
        <w:rPr>
          <w:rFonts w:ascii="Arial" w:eastAsia="SimSun" w:hAnsi="Arial" w:cs="Arial"/>
          <w:sz w:val="24"/>
          <w:szCs w:val="24"/>
          <w:lang w:eastAsia="zh-CN"/>
        </w:rPr>
        <w:t>N</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77777777" w:rsidR="0034136F" w:rsidRDefault="008470A5" w:rsidP="008470A5">
      <w:pPr>
        <w:spacing w:after="0"/>
        <w:ind w:right="3"/>
        <w:jc w:val="both"/>
        <w:rPr>
          <w:rFonts w:eastAsia="SimSun"/>
          <w:bCs/>
          <w:lang w:eastAsia="zh-CN"/>
        </w:rPr>
      </w:pPr>
      <w:r w:rsidRPr="00273103">
        <w:rPr>
          <w:bCs/>
        </w:rPr>
        <w:t xml:space="preserve">This contribution </w:t>
      </w:r>
      <w:r w:rsidR="00922A6F">
        <w:rPr>
          <w:bCs/>
        </w:rPr>
        <w:t>summarize</w:t>
      </w:r>
      <w:r w:rsidRPr="00273103">
        <w:rPr>
          <w:bCs/>
        </w:rPr>
        <w:t xml:space="preserve">s </w:t>
      </w:r>
      <w:r w:rsidR="00922A6F">
        <w:rPr>
          <w:bCs/>
        </w:rPr>
        <w:t xml:space="preserve">past discussions on the tradeoffs on </w:t>
      </w:r>
      <w:r w:rsidR="0034136F">
        <w:rPr>
          <w:rFonts w:eastAsia="SimSun"/>
          <w:bCs/>
          <w:lang w:eastAsia="zh-CN"/>
        </w:rPr>
        <w:t>UL pow</w:t>
      </w:r>
      <w:r w:rsidR="00482E70">
        <w:rPr>
          <w:rFonts w:eastAsia="SimSun"/>
          <w:bCs/>
          <w:lang w:eastAsia="zh-CN"/>
        </w:rPr>
        <w:t xml:space="preserve">er control </w:t>
      </w:r>
      <w:r w:rsidR="00922A6F">
        <w:rPr>
          <w:rFonts w:eastAsia="SimSun"/>
          <w:bCs/>
          <w:lang w:eastAsia="zh-CN"/>
        </w:rPr>
        <w:t xml:space="preserve">approaches </w:t>
      </w:r>
      <w:r w:rsidR="00482E70">
        <w:rPr>
          <w:rFonts w:eastAsia="SimSun"/>
          <w:bCs/>
          <w:lang w:eastAsia="zh-CN"/>
        </w:rPr>
        <w:t>for NR-DC</w:t>
      </w:r>
      <w:r w:rsidR="00E52747">
        <w:rPr>
          <w:rFonts w:eastAsia="SimSun"/>
          <w:bCs/>
          <w:lang w:eastAsia="zh-CN"/>
        </w:rPr>
        <w:t xml:space="preserve"> </w:t>
      </w:r>
      <w:r w:rsidR="00B55DBF">
        <w:rPr>
          <w:rFonts w:eastAsia="SimSun"/>
          <w:bCs/>
          <w:lang w:eastAsia="zh-CN"/>
        </w:rPr>
        <w:t xml:space="preserve">where both the MCG and SCG operate </w:t>
      </w:r>
      <w:r w:rsidR="00E2490C">
        <w:rPr>
          <w:rFonts w:eastAsia="SimSun"/>
          <w:bCs/>
          <w:lang w:eastAsia="zh-CN"/>
        </w:rPr>
        <w:t>on the same frequency range</w:t>
      </w:r>
      <w:r w:rsidR="0034136F">
        <w:rPr>
          <w:rFonts w:eastAsia="SimSun"/>
          <w:bCs/>
          <w:lang w:eastAsia="zh-CN"/>
        </w:rPr>
        <w:t xml:space="preserve"> [1].</w:t>
      </w:r>
    </w:p>
    <w:p w14:paraId="5732EB8E" w14:textId="77777777" w:rsidR="00477008" w:rsidRDefault="00477008" w:rsidP="005E01B7">
      <w:pPr>
        <w:spacing w:after="0"/>
        <w:ind w:right="3"/>
        <w:jc w:val="both"/>
      </w:pPr>
    </w:p>
    <w:p w14:paraId="57839926" w14:textId="77777777" w:rsidR="008470A5" w:rsidRDefault="008470A5" w:rsidP="005E01B7">
      <w:pPr>
        <w:spacing w:after="0"/>
        <w:ind w:right="3"/>
        <w:jc w:val="both"/>
      </w:pPr>
    </w:p>
    <w:p w14:paraId="6E973C97" w14:textId="77777777"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sidR="00922A6F">
        <w:rPr>
          <w:szCs w:val="36"/>
          <w:lang w:val="en-US"/>
        </w:rPr>
        <w:t>for NR-</w:t>
      </w:r>
      <w:r>
        <w:rPr>
          <w:szCs w:val="36"/>
          <w:lang w:val="en-US"/>
        </w:rPr>
        <w:t>DC</w:t>
      </w:r>
      <w:r w:rsidR="00CE086A">
        <w:rPr>
          <w:szCs w:val="36"/>
          <w:lang w:val="en-US"/>
        </w:rPr>
        <w:t xml:space="preserve"> </w:t>
      </w:r>
    </w:p>
    <w:p w14:paraId="3AFC5B60" w14:textId="77777777" w:rsidR="00922A6F" w:rsidRDefault="00922A6F" w:rsidP="00CE086A">
      <w:pPr>
        <w:spacing w:after="0"/>
        <w:jc w:val="both"/>
        <w:rPr>
          <w:rFonts w:cs="Arial"/>
          <w:kern w:val="2"/>
          <w:lang w:eastAsia="ja-JP"/>
        </w:rPr>
      </w:pPr>
      <w:r>
        <w:rPr>
          <w:rFonts w:cs="Arial"/>
          <w:kern w:val="2"/>
          <w:lang w:eastAsia="ja-JP"/>
        </w:rPr>
        <w:t xml:space="preserve">The UL PC design attributes for NR-DC can be essentially summarized as a down-selection from the following options. </w:t>
      </w:r>
    </w:p>
    <w:p w14:paraId="7E4A48B7" w14:textId="77777777" w:rsidR="00922A6F" w:rsidRDefault="00922A6F" w:rsidP="00CE086A">
      <w:pPr>
        <w:spacing w:after="0"/>
        <w:jc w:val="both"/>
        <w:rPr>
          <w:rFonts w:cs="Arial"/>
          <w:kern w:val="2"/>
          <w:lang w:eastAsia="ja-JP"/>
        </w:rPr>
      </w:pPr>
      <w:r>
        <w:rPr>
          <w:rFonts w:cs="Arial"/>
          <w:kern w:val="2"/>
          <w:lang w:eastAsia="ja-JP"/>
        </w:rPr>
        <w:t xml:space="preserve">   </w:t>
      </w:r>
    </w:p>
    <w:p w14:paraId="02D48254" w14:textId="77777777" w:rsidR="00922A6F" w:rsidRPr="00922A6F" w:rsidRDefault="00922A6F" w:rsidP="00922A6F">
      <w:pPr>
        <w:spacing w:after="120"/>
        <w:jc w:val="both"/>
        <w:rPr>
          <w:rFonts w:cs="Arial"/>
          <w:b/>
          <w:kern w:val="2"/>
          <w:u w:val="single"/>
          <w:lang w:eastAsia="ja-JP"/>
        </w:rPr>
      </w:pPr>
      <w:r w:rsidRPr="00922A6F">
        <w:rPr>
          <w:rFonts w:cs="Arial"/>
          <w:b/>
          <w:kern w:val="2"/>
          <w:u w:val="single"/>
          <w:lang w:eastAsia="ja-JP"/>
        </w:rPr>
        <w:t>Semi-static vs dynamic</w:t>
      </w:r>
      <w:r>
        <w:rPr>
          <w:rFonts w:cs="Arial"/>
          <w:b/>
          <w:kern w:val="2"/>
          <w:u w:val="single"/>
          <w:lang w:eastAsia="ja-JP"/>
        </w:rPr>
        <w:t xml:space="preserve"> inter-CG power sharing</w:t>
      </w:r>
    </w:p>
    <w:p w14:paraId="2D988F15" w14:textId="77777777" w:rsidR="007E6A5C" w:rsidRDefault="007E6A5C" w:rsidP="00CE086A">
      <w:pPr>
        <w:spacing w:after="0"/>
        <w:jc w:val="both"/>
        <w:rPr>
          <w:rFonts w:cs="Arial"/>
          <w:kern w:val="2"/>
          <w:lang w:eastAsia="ja-JP"/>
        </w:rPr>
      </w:pPr>
      <w:r>
        <w:rPr>
          <w:rFonts w:cs="Arial"/>
          <w:kern w:val="2"/>
          <w:lang w:eastAsia="ja-JP"/>
        </w:rPr>
        <w:t>It is generally understood</w:t>
      </w:r>
      <w:r w:rsidR="00922A6F">
        <w:rPr>
          <w:rFonts w:cs="Arial"/>
          <w:kern w:val="2"/>
          <w:lang w:eastAsia="ja-JP"/>
        </w:rPr>
        <w:t xml:space="preserve"> that dynamic </w:t>
      </w:r>
      <w:r>
        <w:rPr>
          <w:rFonts w:cs="Arial"/>
          <w:kern w:val="2"/>
          <w:lang w:eastAsia="ja-JP"/>
        </w:rPr>
        <w:t xml:space="preserve">inter-CG </w:t>
      </w:r>
      <w:r w:rsidR="00922A6F">
        <w:rPr>
          <w:rFonts w:cs="Arial"/>
          <w:kern w:val="2"/>
          <w:lang w:eastAsia="ja-JP"/>
        </w:rPr>
        <w:t xml:space="preserve">power </w:t>
      </w:r>
      <w:r>
        <w:rPr>
          <w:rFonts w:cs="Arial"/>
          <w:kern w:val="2"/>
          <w:lang w:eastAsia="ja-JP"/>
        </w:rPr>
        <w:t>sharing can avoid coverage loss</w:t>
      </w:r>
      <w:r w:rsidR="00922A6F">
        <w:rPr>
          <w:rFonts w:cs="Arial"/>
          <w:kern w:val="2"/>
          <w:lang w:eastAsia="ja-JP"/>
        </w:rPr>
        <w:t xml:space="preserve"> and avoid UE transmission power underutilization. </w:t>
      </w:r>
    </w:p>
    <w:p w14:paraId="50B5E5CF" w14:textId="77777777" w:rsidR="007E6A5C" w:rsidRDefault="007E6A5C" w:rsidP="00CE086A">
      <w:pPr>
        <w:spacing w:after="0"/>
        <w:jc w:val="both"/>
        <w:rPr>
          <w:rFonts w:cs="Arial"/>
          <w:kern w:val="2"/>
          <w:lang w:eastAsia="ja-JP"/>
        </w:rPr>
      </w:pPr>
    </w:p>
    <w:p w14:paraId="653A92A7" w14:textId="77777777" w:rsidR="001D3E0D" w:rsidRDefault="00922A6F" w:rsidP="001D3E0D">
      <w:pPr>
        <w:spacing w:after="120"/>
        <w:jc w:val="both"/>
        <w:rPr>
          <w:rFonts w:cs="Arial"/>
          <w:kern w:val="2"/>
          <w:lang w:eastAsia="ja-JP"/>
        </w:rPr>
      </w:pPr>
      <w:r>
        <w:rPr>
          <w:rFonts w:cs="Arial"/>
          <w:kern w:val="2"/>
          <w:lang w:eastAsia="ja-JP"/>
        </w:rPr>
        <w:t xml:space="preserve">It has been argued that dynamic power </w:t>
      </w:r>
      <w:r w:rsidR="007E6A5C">
        <w:rPr>
          <w:rFonts w:cs="Arial"/>
          <w:kern w:val="2"/>
          <w:lang w:eastAsia="ja-JP"/>
        </w:rPr>
        <w:t xml:space="preserve">inter-CG </w:t>
      </w:r>
      <w:r>
        <w:rPr>
          <w:rFonts w:cs="Arial"/>
          <w:kern w:val="2"/>
          <w:lang w:eastAsia="ja-JP"/>
        </w:rPr>
        <w:t xml:space="preserve">sharing can lead to dropped transmissions and </w:t>
      </w:r>
      <w:r w:rsidR="007E6A5C">
        <w:rPr>
          <w:rFonts w:cs="Arial"/>
          <w:kern w:val="2"/>
          <w:lang w:eastAsia="ja-JP"/>
        </w:rPr>
        <w:t xml:space="preserve">then </w:t>
      </w:r>
      <w:r>
        <w:rPr>
          <w:rFonts w:cs="Arial"/>
          <w:kern w:val="2"/>
          <w:lang w:eastAsia="ja-JP"/>
        </w:rPr>
        <w:t xml:space="preserve">the benefits are questionable due to </w:t>
      </w:r>
      <w:r w:rsidR="007E6A5C">
        <w:rPr>
          <w:rFonts w:cs="Arial"/>
          <w:kern w:val="2"/>
          <w:lang w:eastAsia="ja-JP"/>
        </w:rPr>
        <w:t xml:space="preserve">the </w:t>
      </w:r>
      <w:r>
        <w:rPr>
          <w:rFonts w:cs="Arial"/>
          <w:kern w:val="2"/>
          <w:lang w:eastAsia="ja-JP"/>
        </w:rPr>
        <w:t xml:space="preserve">uncoordinated scheduling between the CGs. In general, power limited UE operation is not a frequent event and typically happens when </w:t>
      </w:r>
    </w:p>
    <w:p w14:paraId="51DA7A91" w14:textId="27CF3063" w:rsidR="001D3E0D" w:rsidRDefault="00922A6F" w:rsidP="001D3E0D">
      <w:pPr>
        <w:pStyle w:val="ListParagraph"/>
        <w:numPr>
          <w:ilvl w:val="0"/>
          <w:numId w:val="49"/>
        </w:numPr>
        <w:spacing w:after="120"/>
        <w:contextualSpacing w:val="0"/>
        <w:jc w:val="both"/>
        <w:rPr>
          <w:rFonts w:cs="Arial"/>
          <w:kern w:val="2"/>
          <w:lang w:eastAsia="ja-JP"/>
        </w:rPr>
      </w:pPr>
      <w:r w:rsidRPr="001D3E0D">
        <w:rPr>
          <w:rFonts w:cs="Arial"/>
          <w:kern w:val="2"/>
          <w:lang w:eastAsia="ja-JP"/>
        </w:rPr>
        <w:t xml:space="preserve">the UE is in poor coverage where anyway dynamic </w:t>
      </w:r>
      <w:r w:rsidR="007E6A5C" w:rsidRPr="001D3E0D">
        <w:rPr>
          <w:rFonts w:cs="Arial"/>
          <w:kern w:val="2"/>
          <w:lang w:eastAsia="ja-JP"/>
        </w:rPr>
        <w:t>inter-CG power sharing would be most beneficial</w:t>
      </w:r>
    </w:p>
    <w:p w14:paraId="2F1629B2" w14:textId="5A3E13A5" w:rsidR="001D3E0D" w:rsidRDefault="001D3E0D" w:rsidP="001D3E0D">
      <w:pPr>
        <w:pStyle w:val="ListParagraph"/>
        <w:numPr>
          <w:ilvl w:val="0"/>
          <w:numId w:val="49"/>
        </w:numPr>
        <w:spacing w:after="0"/>
        <w:contextualSpacing w:val="0"/>
        <w:jc w:val="both"/>
        <w:rPr>
          <w:rFonts w:cs="Arial"/>
          <w:kern w:val="2"/>
          <w:lang w:eastAsia="ja-JP"/>
        </w:rPr>
      </w:pPr>
      <w:r>
        <w:rPr>
          <w:rFonts w:cs="Arial"/>
          <w:kern w:val="2"/>
          <w:lang w:eastAsia="ja-JP"/>
        </w:rPr>
        <w:t>the UE has peak data rate (large BW and large BPRE) PUSCH transmissions – this is typically associated with data offloading to the SCG (small cells) while to MCG (macro) is used for mobility support. Again, in that scenario, dynamic power sharing would be most beneficial</w:t>
      </w:r>
      <w:r w:rsidR="00922A6F" w:rsidRPr="001D3E0D">
        <w:rPr>
          <w:rFonts w:cs="Arial"/>
          <w:kern w:val="2"/>
          <w:lang w:eastAsia="ja-JP"/>
        </w:rPr>
        <w:t xml:space="preserve"> </w:t>
      </w:r>
    </w:p>
    <w:p w14:paraId="2B88E79B" w14:textId="77777777" w:rsidR="001D3E0D" w:rsidRDefault="001D3E0D" w:rsidP="001D3E0D">
      <w:pPr>
        <w:spacing w:after="0"/>
        <w:jc w:val="both"/>
        <w:rPr>
          <w:rFonts w:cs="Arial"/>
          <w:kern w:val="2"/>
          <w:lang w:eastAsia="ja-JP"/>
        </w:rPr>
      </w:pPr>
    </w:p>
    <w:p w14:paraId="6D3E041F" w14:textId="726C82E1" w:rsidR="004E6080" w:rsidRPr="001D3E0D" w:rsidRDefault="004E6080" w:rsidP="001D3E0D">
      <w:pPr>
        <w:spacing w:after="0"/>
        <w:jc w:val="both"/>
        <w:rPr>
          <w:rFonts w:cs="Arial"/>
          <w:kern w:val="2"/>
          <w:lang w:eastAsia="ja-JP"/>
        </w:rPr>
      </w:pPr>
      <w:r w:rsidRPr="001D3E0D">
        <w:rPr>
          <w:rFonts w:cs="Arial"/>
          <w:kern w:val="2"/>
          <w:lang w:eastAsia="ja-JP"/>
        </w:rPr>
        <w:t xml:space="preserve">Moreover, transmissions do not need to be dropped and they can be power scaled – whether there is any phase discontinuity can depend on the amount of power scaling and, more importantly, on the applicability of ‘look-ahead’ for the determination of transmission power. </w:t>
      </w:r>
    </w:p>
    <w:p w14:paraId="7F3115DD" w14:textId="77777777" w:rsidR="004E6080" w:rsidRDefault="004E6080" w:rsidP="00CE086A">
      <w:pPr>
        <w:spacing w:after="0"/>
        <w:jc w:val="both"/>
        <w:rPr>
          <w:rFonts w:cs="Arial"/>
          <w:kern w:val="2"/>
          <w:lang w:eastAsia="ja-JP"/>
        </w:rPr>
      </w:pPr>
    </w:p>
    <w:p w14:paraId="0F16F2F5" w14:textId="77777777" w:rsidR="004E6080" w:rsidRDefault="004E6080" w:rsidP="004E6080">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 xml:space="preserve">For NR-DC in FR1, support inter-CG dynamic sharing of UE transmission power. </w:t>
      </w:r>
    </w:p>
    <w:p w14:paraId="7E73523A" w14:textId="77777777" w:rsidR="004E6080" w:rsidRDefault="004E6080" w:rsidP="004E6080">
      <w:pPr>
        <w:spacing w:after="0"/>
        <w:jc w:val="both"/>
        <w:rPr>
          <w:rFonts w:cs="Arial"/>
          <w:b/>
          <w:kern w:val="2"/>
          <w:u w:val="single"/>
          <w:lang w:eastAsia="ja-JP"/>
        </w:rPr>
      </w:pPr>
    </w:p>
    <w:p w14:paraId="418B6C73" w14:textId="77777777" w:rsidR="008810E7" w:rsidRDefault="008810E7" w:rsidP="00EB0262">
      <w:pPr>
        <w:spacing w:after="0"/>
        <w:jc w:val="both"/>
        <w:rPr>
          <w:rFonts w:cs="Arial"/>
          <w:kern w:val="2"/>
          <w:lang w:eastAsia="ja-JP"/>
        </w:rPr>
      </w:pPr>
    </w:p>
    <w:p w14:paraId="5180870C" w14:textId="77777777" w:rsidR="00341508" w:rsidRDefault="00341508" w:rsidP="00341508">
      <w:pPr>
        <w:spacing w:after="120"/>
        <w:jc w:val="both"/>
        <w:rPr>
          <w:rFonts w:cs="Arial"/>
          <w:b/>
          <w:kern w:val="2"/>
          <w:u w:val="single"/>
          <w:lang w:eastAsia="ja-JP"/>
        </w:rPr>
      </w:pPr>
      <w:r>
        <w:rPr>
          <w:rFonts w:cs="Arial"/>
          <w:b/>
          <w:kern w:val="2"/>
          <w:u w:val="single"/>
          <w:lang w:eastAsia="ja-JP"/>
        </w:rPr>
        <w:t>‘Look-ahead’</w:t>
      </w:r>
      <w:r w:rsidRPr="00922A6F">
        <w:rPr>
          <w:rFonts w:cs="Arial"/>
          <w:b/>
          <w:kern w:val="2"/>
          <w:u w:val="single"/>
          <w:lang w:eastAsia="ja-JP"/>
        </w:rPr>
        <w:t xml:space="preserve"> vs</w:t>
      </w:r>
      <w:r>
        <w:rPr>
          <w:rFonts w:cs="Arial"/>
          <w:b/>
          <w:kern w:val="2"/>
          <w:u w:val="single"/>
          <w:lang w:eastAsia="ja-JP"/>
        </w:rPr>
        <w:t>. ‘no look-ahead’</w:t>
      </w:r>
    </w:p>
    <w:p w14:paraId="4AC9A7C2" w14:textId="58E56645" w:rsidR="00341508" w:rsidRDefault="00341508" w:rsidP="00341508">
      <w:pPr>
        <w:spacing w:after="0"/>
        <w:jc w:val="both"/>
        <w:rPr>
          <w:rFonts w:cs="Arial"/>
          <w:kern w:val="2"/>
          <w:lang w:eastAsia="ja-JP"/>
        </w:rPr>
      </w:pPr>
      <w:r>
        <w:rPr>
          <w:rFonts w:cs="Arial"/>
          <w:kern w:val="2"/>
          <w:lang w:eastAsia="ja-JP"/>
        </w:rPr>
        <w:t xml:space="preserve">Look-ahead is the ability of a UE to determine a power of a signal/channel transmission at a given transmission occasion by considering a power of overlapping signal/channel transmissions that are scheduled at a later time. Prioritization of power allocation is an additional, separate, aspect that is trivial to resolve based on the information or service type (e.g. follow </w:t>
      </w:r>
      <w:r w:rsidR="00B14AF0">
        <w:rPr>
          <w:rFonts w:cs="Arial"/>
          <w:kern w:val="2"/>
          <w:lang w:eastAsia="ja-JP"/>
        </w:rPr>
        <w:t xml:space="preserve">Rel-15 EN-DC </w:t>
      </w:r>
      <w:r w:rsidR="0061225B">
        <w:rPr>
          <w:rFonts w:cs="Arial"/>
          <w:kern w:val="2"/>
          <w:lang w:eastAsia="ja-JP"/>
        </w:rPr>
        <w:t xml:space="preserve">and CA </w:t>
      </w:r>
      <w:r>
        <w:rPr>
          <w:rFonts w:cs="Arial"/>
          <w:kern w:val="2"/>
          <w:lang w:eastAsia="ja-JP"/>
        </w:rPr>
        <w:t xml:space="preserve">and also possibly consider URLLC). </w:t>
      </w:r>
      <w:r w:rsidR="00B14AF0">
        <w:rPr>
          <w:rFonts w:cs="Arial"/>
          <w:kern w:val="2"/>
          <w:lang w:eastAsia="ja-JP"/>
        </w:rPr>
        <w:t>A</w:t>
      </w:r>
      <w:r>
        <w:rPr>
          <w:rFonts w:cs="Arial"/>
          <w:kern w:val="2"/>
          <w:lang w:eastAsia="ja-JP"/>
        </w:rPr>
        <w:t xml:space="preserve"> ‘look-ahead’ </w:t>
      </w:r>
      <w:r w:rsidR="00B14AF0">
        <w:rPr>
          <w:rFonts w:cs="Arial"/>
          <w:kern w:val="2"/>
          <w:lang w:eastAsia="ja-JP"/>
        </w:rPr>
        <w:t xml:space="preserve">capability </w:t>
      </w:r>
      <w:r>
        <w:rPr>
          <w:rFonts w:cs="Arial"/>
          <w:kern w:val="2"/>
          <w:lang w:eastAsia="ja-JP"/>
        </w:rPr>
        <w:t xml:space="preserve">is already supported in Rel-15 for a UE to determine a channel for multiplexing UCI when there are several time-overlapping </w:t>
      </w:r>
      <w:r w:rsidR="0061225B">
        <w:rPr>
          <w:rFonts w:cs="Arial"/>
          <w:kern w:val="2"/>
          <w:lang w:eastAsia="ja-JP"/>
        </w:rPr>
        <w:t>PUCCHs/PUSCHs</w:t>
      </w:r>
      <w:r>
        <w:rPr>
          <w:rFonts w:cs="Arial"/>
          <w:kern w:val="2"/>
          <w:lang w:eastAsia="ja-JP"/>
        </w:rPr>
        <w:t xml:space="preserve">. The Rel-15 procedure </w:t>
      </w:r>
      <w:r w:rsidR="00B14AF0">
        <w:rPr>
          <w:rFonts w:cs="Arial"/>
          <w:kern w:val="2"/>
          <w:lang w:eastAsia="ja-JP"/>
        </w:rPr>
        <w:t xml:space="preserve">for UCI multiplexing </w:t>
      </w:r>
      <w:r>
        <w:rPr>
          <w:rFonts w:cs="Arial"/>
          <w:kern w:val="2"/>
          <w:lang w:eastAsia="ja-JP"/>
        </w:rPr>
        <w:t>is actually more complex than ‘look-ahead’ for determining a transmission power and so are the corresponding UE operations (multiplexing UCI in the selected channel vs. setting a transmission power).</w:t>
      </w:r>
      <w:r w:rsidR="006C4F32">
        <w:rPr>
          <w:rFonts w:cs="Arial"/>
          <w:kern w:val="2"/>
          <w:lang w:eastAsia="ja-JP"/>
        </w:rPr>
        <w:t xml:space="preserve"> The same UE processing timeline as for determining UCI multiplexing in a same PUCCH</w:t>
      </w:r>
      <w:r w:rsidR="0061225B">
        <w:rPr>
          <w:rFonts w:cs="Arial"/>
          <w:kern w:val="2"/>
          <w:lang w:eastAsia="ja-JP"/>
        </w:rPr>
        <w:t>/PUSCH</w:t>
      </w:r>
      <w:r w:rsidR="006C4F32">
        <w:rPr>
          <w:rFonts w:cs="Arial"/>
          <w:kern w:val="2"/>
          <w:lang w:eastAsia="ja-JP"/>
        </w:rPr>
        <w:t xml:space="preserve"> can apply as a conservative timeline for determining a transmission power with ‘look ahead’. </w:t>
      </w:r>
    </w:p>
    <w:p w14:paraId="3535937F" w14:textId="00DB2225" w:rsidR="00341508" w:rsidRDefault="00341508" w:rsidP="00341508">
      <w:pPr>
        <w:spacing w:after="0"/>
        <w:jc w:val="both"/>
        <w:rPr>
          <w:rFonts w:cs="Arial"/>
          <w:kern w:val="2"/>
          <w:lang w:eastAsia="ja-JP"/>
        </w:rPr>
      </w:pPr>
    </w:p>
    <w:p w14:paraId="75A57E24" w14:textId="49B0E4E8" w:rsidR="00B14AF0" w:rsidRDefault="00B14AF0" w:rsidP="00B14AF0">
      <w:pPr>
        <w:spacing w:after="0"/>
        <w:jc w:val="both"/>
        <w:rPr>
          <w:rFonts w:cs="Arial"/>
          <w:kern w:val="2"/>
          <w:lang w:eastAsia="ja-JP"/>
        </w:rPr>
      </w:pPr>
      <w:r>
        <w:rPr>
          <w:rFonts w:cs="Arial"/>
          <w:kern w:val="2"/>
          <w:lang w:eastAsia="ja-JP"/>
        </w:rPr>
        <w:t>It has been also argued that certain UE implementations find it difficult/impossible to support dynamic power sharing or ‘look-ahead’.</w:t>
      </w:r>
      <w:r w:rsidR="006C4F32">
        <w:rPr>
          <w:rFonts w:cs="Arial"/>
          <w:kern w:val="2"/>
          <w:lang w:eastAsia="ja-JP"/>
        </w:rPr>
        <w:t xml:space="preserve"> </w:t>
      </w:r>
      <w:r>
        <w:rPr>
          <w:rFonts w:cs="Arial"/>
          <w:kern w:val="2"/>
          <w:lang w:eastAsia="ja-JP"/>
        </w:rPr>
        <w:t xml:space="preserve">Instead of reducing the UL PC design for NR DC to the lowest common denominator, </w:t>
      </w:r>
      <w:r w:rsidR="006C4F32">
        <w:rPr>
          <w:rFonts w:cs="Arial"/>
          <w:kern w:val="2"/>
          <w:lang w:eastAsia="ja-JP"/>
        </w:rPr>
        <w:t xml:space="preserve">especially as there is no apparent fundamental reason for such incapability, </w:t>
      </w:r>
      <w:r>
        <w:rPr>
          <w:rFonts w:cs="Arial"/>
          <w:kern w:val="2"/>
          <w:lang w:eastAsia="ja-JP"/>
        </w:rPr>
        <w:t xml:space="preserve">UEs that cannot support ‘look-ahead’ can declare such (in)capability. It is then up to the </w:t>
      </w:r>
      <w:proofErr w:type="spellStart"/>
      <w:r>
        <w:rPr>
          <w:rFonts w:cs="Arial"/>
          <w:kern w:val="2"/>
          <w:lang w:eastAsia="ja-JP"/>
        </w:rPr>
        <w:t>gNB</w:t>
      </w:r>
      <w:proofErr w:type="spellEnd"/>
      <w:r>
        <w:rPr>
          <w:rFonts w:cs="Arial"/>
          <w:kern w:val="2"/>
          <w:lang w:eastAsia="ja-JP"/>
        </w:rPr>
        <w:t xml:space="preserve"> to set the parameters of dynamic power sharing for such UEs. For example, if the </w:t>
      </w:r>
      <w:proofErr w:type="spellStart"/>
      <w:r>
        <w:rPr>
          <w:rFonts w:cs="Arial"/>
          <w:kern w:val="2"/>
          <w:lang w:eastAsia="ja-JP"/>
        </w:rPr>
        <w:t>gNB</w:t>
      </w:r>
      <w:proofErr w:type="spellEnd"/>
      <w:r>
        <w:rPr>
          <w:rFonts w:cs="Arial"/>
          <w:kern w:val="2"/>
          <w:lang w:eastAsia="ja-JP"/>
        </w:rPr>
        <w:t xml:space="preserve"> determines that dynamic power sharing is not useful</w:t>
      </w:r>
      <w:r w:rsidR="006C4F32">
        <w:rPr>
          <w:rFonts w:cs="Arial"/>
          <w:kern w:val="2"/>
          <w:lang w:eastAsia="ja-JP"/>
        </w:rPr>
        <w:t xml:space="preserve"> without ‘look ahead’ for a UE</w:t>
      </w:r>
      <w:r>
        <w:rPr>
          <w:rFonts w:cs="Arial"/>
          <w:kern w:val="2"/>
          <w:lang w:eastAsia="ja-JP"/>
        </w:rPr>
        <w:t xml:space="preserve">, the </w:t>
      </w:r>
      <w:proofErr w:type="spellStart"/>
      <w:r>
        <w:rPr>
          <w:rFonts w:cs="Arial"/>
          <w:kern w:val="2"/>
          <w:lang w:eastAsia="ja-JP"/>
        </w:rPr>
        <w:t>gNB</w:t>
      </w:r>
      <w:proofErr w:type="spellEnd"/>
      <w:r>
        <w:rPr>
          <w:rFonts w:cs="Arial"/>
          <w:kern w:val="2"/>
          <w:lang w:eastAsia="ja-JP"/>
        </w:rPr>
        <w:t xml:space="preserve"> can operate such UE with semi-static power sharing.  </w:t>
      </w:r>
    </w:p>
    <w:p w14:paraId="458FDB1C" w14:textId="77777777" w:rsidR="00AC1C5B" w:rsidRDefault="00AC1C5B" w:rsidP="00B14AF0">
      <w:pPr>
        <w:spacing w:after="0"/>
        <w:jc w:val="both"/>
        <w:rPr>
          <w:rFonts w:cs="Arial"/>
          <w:kern w:val="2"/>
          <w:lang w:eastAsia="ja-JP"/>
        </w:rPr>
      </w:pPr>
    </w:p>
    <w:p w14:paraId="7C7EF1CA" w14:textId="7FB12568" w:rsidR="00DB0389" w:rsidRDefault="00300083" w:rsidP="00300083">
      <w:pPr>
        <w:spacing w:after="0"/>
        <w:jc w:val="both"/>
        <w:rPr>
          <w:rFonts w:cs="Arial"/>
          <w:kern w:val="2"/>
          <w:lang w:eastAsia="ja-JP"/>
        </w:rPr>
      </w:pPr>
      <w:r>
        <w:rPr>
          <w:rFonts w:cs="Arial"/>
          <w:kern w:val="2"/>
          <w:lang w:eastAsia="ja-JP"/>
        </w:rPr>
        <w:t xml:space="preserve">Regarding </w:t>
      </w:r>
      <w:r w:rsidR="00EC00C4">
        <w:rPr>
          <w:rFonts w:cs="Arial"/>
          <w:kern w:val="2"/>
          <w:lang w:eastAsia="ja-JP"/>
        </w:rPr>
        <w:t xml:space="preserve">the </w:t>
      </w:r>
      <w:r>
        <w:rPr>
          <w:rFonts w:cs="Arial"/>
          <w:kern w:val="2"/>
          <w:lang w:eastAsia="ja-JP"/>
        </w:rPr>
        <w:t xml:space="preserve">processing timeline for </w:t>
      </w:r>
      <w:r w:rsidR="00EC00C4">
        <w:rPr>
          <w:rFonts w:cs="Arial"/>
          <w:kern w:val="2"/>
          <w:lang w:eastAsia="ja-JP"/>
        </w:rPr>
        <w:t>‘</w:t>
      </w:r>
      <w:r>
        <w:rPr>
          <w:rFonts w:cs="Arial"/>
          <w:kern w:val="2"/>
          <w:lang w:eastAsia="ja-JP"/>
        </w:rPr>
        <w:t>look-ahead</w:t>
      </w:r>
      <w:r w:rsidR="00EC00C4">
        <w:rPr>
          <w:rFonts w:cs="Arial"/>
          <w:kern w:val="2"/>
          <w:lang w:eastAsia="ja-JP"/>
        </w:rPr>
        <w:t>’</w:t>
      </w:r>
      <w:r>
        <w:rPr>
          <w:rFonts w:cs="Arial"/>
          <w:kern w:val="2"/>
          <w:lang w:eastAsia="ja-JP"/>
        </w:rPr>
        <w:t xml:space="preserve"> operation, </w:t>
      </w:r>
      <w:r w:rsidR="00EC00C4">
        <w:rPr>
          <w:rFonts w:cs="Arial"/>
          <w:kern w:val="2"/>
          <w:lang w:eastAsia="ja-JP"/>
        </w:rPr>
        <w:t>similar to ‘look-ahead’ for UCI multiplexing,</w:t>
      </w:r>
      <w:r>
        <w:rPr>
          <w:rFonts w:cs="Arial"/>
          <w:kern w:val="2"/>
          <w:lang w:eastAsia="ja-JP"/>
        </w:rPr>
        <w:t xml:space="preserve"> a UE </w:t>
      </w:r>
      <w:r w:rsidR="00EC00C4">
        <w:rPr>
          <w:rFonts w:cs="Arial"/>
          <w:kern w:val="2"/>
          <w:lang w:eastAsia="ja-JP"/>
        </w:rPr>
        <w:t xml:space="preserve">can first determine a </w:t>
      </w:r>
      <w:r>
        <w:rPr>
          <w:rFonts w:cs="Arial"/>
          <w:kern w:val="2"/>
          <w:lang w:eastAsia="ja-JP"/>
        </w:rPr>
        <w:t>group of overlapping dynamic and</w:t>
      </w:r>
      <w:r w:rsidR="00EC00C4">
        <w:rPr>
          <w:rFonts w:cs="Arial"/>
          <w:kern w:val="2"/>
          <w:lang w:eastAsia="ja-JP"/>
        </w:rPr>
        <w:t>/or</w:t>
      </w:r>
      <w:r>
        <w:rPr>
          <w:rFonts w:cs="Arial"/>
          <w:kern w:val="2"/>
          <w:lang w:eastAsia="ja-JP"/>
        </w:rPr>
        <w:t xml:space="preserve"> semi-static transmissions, and then determin</w:t>
      </w:r>
      <w:r w:rsidR="00EC00C4">
        <w:rPr>
          <w:rFonts w:cs="Arial"/>
          <w:kern w:val="2"/>
          <w:lang w:eastAsia="ja-JP"/>
        </w:rPr>
        <w:t>e</w:t>
      </w:r>
      <w:r>
        <w:rPr>
          <w:rFonts w:cs="Arial"/>
          <w:kern w:val="2"/>
          <w:lang w:eastAsia="ja-JP"/>
        </w:rPr>
        <w:t xml:space="preserve"> </w:t>
      </w:r>
      <w:r w:rsidR="00EC00C4">
        <w:rPr>
          <w:rFonts w:cs="Arial"/>
          <w:kern w:val="2"/>
          <w:lang w:eastAsia="ja-JP"/>
        </w:rPr>
        <w:t xml:space="preserve">a </w:t>
      </w:r>
      <w:r>
        <w:rPr>
          <w:rFonts w:cs="Arial"/>
          <w:kern w:val="2"/>
          <w:lang w:eastAsia="ja-JP"/>
        </w:rPr>
        <w:t xml:space="preserve">power of </w:t>
      </w:r>
      <w:r w:rsidR="00EC00C4">
        <w:rPr>
          <w:rFonts w:cs="Arial"/>
          <w:kern w:val="2"/>
          <w:lang w:eastAsia="ja-JP"/>
        </w:rPr>
        <w:t>the</w:t>
      </w:r>
      <w:r>
        <w:rPr>
          <w:rFonts w:cs="Arial"/>
          <w:kern w:val="2"/>
          <w:lang w:eastAsia="ja-JP"/>
        </w:rPr>
        <w:t xml:space="preserve"> group. </w:t>
      </w:r>
      <w:r w:rsidR="00EC00C4">
        <w:rPr>
          <w:rFonts w:cs="Arial"/>
          <w:kern w:val="2"/>
          <w:lang w:eastAsia="ja-JP"/>
        </w:rPr>
        <w:t>T</w:t>
      </w:r>
      <w:r>
        <w:rPr>
          <w:rFonts w:cs="Arial"/>
          <w:kern w:val="2"/>
          <w:lang w:eastAsia="ja-JP"/>
        </w:rPr>
        <w:t xml:space="preserve">he boundary of timeline determination </w:t>
      </w:r>
      <w:r w:rsidR="00EC00C4">
        <w:rPr>
          <w:rFonts w:cs="Arial"/>
          <w:kern w:val="2"/>
          <w:lang w:eastAsia="ja-JP"/>
        </w:rPr>
        <w:t xml:space="preserve">can be set </w:t>
      </w:r>
      <w:r>
        <w:rPr>
          <w:rFonts w:cs="Arial"/>
          <w:kern w:val="2"/>
          <w:lang w:eastAsia="ja-JP"/>
        </w:rPr>
        <w:t xml:space="preserve">at the start of the earliest transmission </w:t>
      </w:r>
      <w:r w:rsidR="00EC00C4">
        <w:rPr>
          <w:rFonts w:cs="Arial"/>
          <w:kern w:val="2"/>
          <w:lang w:eastAsia="ja-JP"/>
        </w:rPr>
        <w:t>in</w:t>
      </w:r>
      <w:r>
        <w:rPr>
          <w:rFonts w:cs="Arial"/>
          <w:kern w:val="2"/>
          <w:lang w:eastAsia="ja-JP"/>
        </w:rPr>
        <w:t xml:space="preserve"> the group. </w:t>
      </w:r>
      <w:r w:rsidR="00EC00C4">
        <w:rPr>
          <w:rFonts w:cs="Arial"/>
          <w:kern w:val="2"/>
          <w:lang w:eastAsia="ja-JP"/>
        </w:rPr>
        <w:t>A</w:t>
      </w:r>
      <w:r>
        <w:rPr>
          <w:rFonts w:cs="Arial"/>
          <w:kern w:val="2"/>
          <w:lang w:eastAsia="ja-JP"/>
        </w:rPr>
        <w:t xml:space="preserve"> potential </w:t>
      </w:r>
      <w:r w:rsidR="00EC00C4">
        <w:rPr>
          <w:rFonts w:cs="Arial"/>
          <w:kern w:val="2"/>
          <w:lang w:eastAsia="ja-JP"/>
        </w:rPr>
        <w:t xml:space="preserve">UE </w:t>
      </w:r>
      <w:r>
        <w:rPr>
          <w:rFonts w:cs="Arial"/>
          <w:kern w:val="2"/>
          <w:lang w:eastAsia="ja-JP"/>
        </w:rPr>
        <w:lastRenderedPageBreak/>
        <w:t xml:space="preserve">processing bottleneck is being aware of overlapping transmissions </w:t>
      </w:r>
      <w:r w:rsidR="006F4C45">
        <w:rPr>
          <w:rFonts w:cs="Arial"/>
          <w:kern w:val="2"/>
          <w:lang w:eastAsia="ja-JP"/>
        </w:rPr>
        <w:t xml:space="preserve">that </w:t>
      </w:r>
      <w:r>
        <w:rPr>
          <w:rFonts w:cs="Arial"/>
          <w:kern w:val="2"/>
          <w:lang w:eastAsia="ja-JP"/>
        </w:rPr>
        <w:t xml:space="preserve">start later. For dynamic transmission, </w:t>
      </w:r>
      <w:r w:rsidR="006F4C45">
        <w:rPr>
          <w:rFonts w:cs="Arial"/>
          <w:kern w:val="2"/>
          <w:lang w:eastAsia="ja-JP"/>
        </w:rPr>
        <w:t>this</w:t>
      </w:r>
      <w:r>
        <w:rPr>
          <w:rFonts w:cs="Arial"/>
          <w:kern w:val="2"/>
          <w:lang w:eastAsia="ja-JP"/>
        </w:rPr>
        <w:t xml:space="preserve"> involves processing </w:t>
      </w:r>
      <w:r w:rsidR="006F4C45">
        <w:rPr>
          <w:rFonts w:cs="Arial"/>
          <w:kern w:val="2"/>
          <w:lang w:eastAsia="ja-JP"/>
        </w:rPr>
        <w:t>a</w:t>
      </w:r>
      <w:r>
        <w:rPr>
          <w:rFonts w:cs="Arial"/>
          <w:kern w:val="2"/>
          <w:lang w:eastAsia="ja-JP"/>
        </w:rPr>
        <w:t xml:space="preserve"> DCI </w:t>
      </w:r>
      <w:r w:rsidR="006F4C45">
        <w:rPr>
          <w:rFonts w:cs="Arial"/>
          <w:kern w:val="2"/>
          <w:lang w:eastAsia="ja-JP"/>
        </w:rPr>
        <w:t>format</w:t>
      </w:r>
      <w:bookmarkStart w:id="5" w:name="_GoBack"/>
      <w:bookmarkEnd w:id="5"/>
      <w:r w:rsidR="006F4C45">
        <w:rPr>
          <w:rFonts w:cs="Arial"/>
          <w:kern w:val="2"/>
          <w:lang w:eastAsia="ja-JP"/>
        </w:rPr>
        <w:t>. A conservative</w:t>
      </w:r>
      <w:r>
        <w:rPr>
          <w:rFonts w:cs="Arial"/>
          <w:kern w:val="2"/>
          <w:lang w:eastAsia="ja-JP"/>
        </w:rPr>
        <w:t xml:space="preserve"> bound </w:t>
      </w:r>
      <w:r w:rsidR="006F4C45">
        <w:rPr>
          <w:rFonts w:cs="Arial"/>
          <w:kern w:val="2"/>
          <w:lang w:eastAsia="ja-JP"/>
        </w:rPr>
        <w:t>is the</w:t>
      </w:r>
      <w:r>
        <w:rPr>
          <w:rFonts w:cs="Arial"/>
          <w:kern w:val="2"/>
          <w:lang w:eastAsia="ja-JP"/>
        </w:rPr>
        <w:t xml:space="preserve"> PUSCH preparation time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Pr>
          <w:rFonts w:cs="Arial"/>
          <w:kern w:val="2"/>
          <w:lang w:eastAsia="ja-JP"/>
        </w:rPr>
        <w:t xml:space="preserve"> corresponding to numerology of that transmission. </w:t>
      </w:r>
    </w:p>
    <w:p w14:paraId="2C5E3A11" w14:textId="77777777" w:rsidR="00DB0389" w:rsidRDefault="00DB0389" w:rsidP="00300083">
      <w:pPr>
        <w:spacing w:after="0"/>
        <w:jc w:val="both"/>
        <w:rPr>
          <w:rFonts w:cs="Arial"/>
          <w:kern w:val="2"/>
          <w:lang w:eastAsia="ja-JP"/>
        </w:rPr>
      </w:pPr>
    </w:p>
    <w:p w14:paraId="54AB4BD3" w14:textId="32A6C134" w:rsidR="00300083" w:rsidRDefault="00300083" w:rsidP="00300083">
      <w:pPr>
        <w:spacing w:after="0"/>
        <w:jc w:val="both"/>
        <w:rPr>
          <w:rFonts w:cs="Arial"/>
          <w:kern w:val="2"/>
          <w:lang w:eastAsia="ja-JP"/>
        </w:rPr>
      </w:pPr>
      <w:r>
        <w:rPr>
          <w:rFonts w:cs="Arial"/>
          <w:kern w:val="2"/>
          <w:lang w:eastAsia="ja-JP"/>
        </w:rPr>
        <w:t xml:space="preserve">Figure 1(a) describes </w:t>
      </w:r>
      <w:r w:rsidR="00DB0389">
        <w:rPr>
          <w:rFonts w:cs="Arial"/>
          <w:kern w:val="2"/>
          <w:lang w:eastAsia="ja-JP"/>
        </w:rPr>
        <w:t xml:space="preserve">an example for </w:t>
      </w:r>
      <w:r>
        <w:rPr>
          <w:rFonts w:cs="Arial"/>
          <w:kern w:val="2"/>
          <w:lang w:eastAsia="ja-JP"/>
        </w:rPr>
        <w:t xml:space="preserve">the timeline application. </w:t>
      </w:r>
      <w:r w:rsidRPr="00535E7E">
        <w:rPr>
          <w:rFonts w:cs="Arial"/>
          <w:kern w:val="2"/>
          <w:lang w:eastAsia="ja-JP"/>
        </w:rPr>
        <w:t xml:space="preserve">For </w:t>
      </w:r>
      <w:r w:rsidR="00DB0389">
        <w:rPr>
          <w:rFonts w:cs="Arial"/>
          <w:kern w:val="2"/>
          <w:lang w:eastAsia="ja-JP"/>
        </w:rPr>
        <w:t>a cell</w:t>
      </w:r>
      <w:r w:rsidRPr="00535E7E">
        <w:rPr>
          <w:rFonts w:cs="Arial"/>
          <w:kern w:val="2"/>
          <w:lang w:eastAsia="ja-JP"/>
        </w:rPr>
        <w:t xml:space="preserve"> other than </w:t>
      </w:r>
      <w:r>
        <w:rPr>
          <w:rFonts w:cs="Arial"/>
          <w:kern w:val="2"/>
          <w:lang w:eastAsia="ja-JP"/>
        </w:rPr>
        <w:t xml:space="preserve">the </w:t>
      </w:r>
      <w:r w:rsidR="00DB0389">
        <w:rPr>
          <w:rFonts w:cs="Arial"/>
          <w:kern w:val="2"/>
          <w:lang w:eastAsia="ja-JP"/>
        </w:rPr>
        <w:t>cell of</w:t>
      </w:r>
      <w:r>
        <w:rPr>
          <w:rFonts w:cs="Arial"/>
          <w:kern w:val="2"/>
          <w:lang w:eastAsia="ja-JP"/>
        </w:rPr>
        <w:t xml:space="preserve"> </w:t>
      </w:r>
      <w:r w:rsidRPr="00535E7E">
        <w:rPr>
          <w:rFonts w:cs="Arial"/>
          <w:kern w:val="2"/>
          <w:lang w:eastAsia="ja-JP"/>
        </w:rPr>
        <w:t xml:space="preserve">the leading transmission, an offset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Pr="00535E7E">
        <w:rPr>
          <w:rFonts w:cs="Arial"/>
          <w:kern w:val="2"/>
          <w:lang w:eastAsia="ja-JP"/>
        </w:rPr>
        <w:t xml:space="preserve"> from the starting point of </w:t>
      </w:r>
      <w:r w:rsidR="00DB0389">
        <w:rPr>
          <w:rFonts w:cs="Arial"/>
          <w:kern w:val="2"/>
          <w:lang w:eastAsia="ja-JP"/>
        </w:rPr>
        <w:t xml:space="preserve">the </w:t>
      </w:r>
      <w:r w:rsidRPr="00535E7E">
        <w:rPr>
          <w:rFonts w:cs="Arial"/>
          <w:kern w:val="2"/>
          <w:lang w:eastAsia="ja-JP"/>
        </w:rPr>
        <w:t xml:space="preserve">leading transmission is defined </w:t>
      </w:r>
      <w:r w:rsidR="00DB0389">
        <w:rPr>
          <w:rFonts w:cs="Arial"/>
          <w:kern w:val="2"/>
          <w:lang w:eastAsia="ja-JP"/>
        </w:rPr>
        <w:t>(</w:t>
      </w:r>
      <w:r w:rsidRPr="00535E7E">
        <w:rPr>
          <w:rFonts w:cs="Arial"/>
          <w:kern w:val="2"/>
          <w:lang w:eastAsia="ja-JP"/>
        </w:rPr>
        <w:t xml:space="preserve">μ is the </w:t>
      </w:r>
      <w:r w:rsidR="00DB0389">
        <w:rPr>
          <w:rFonts w:cs="Arial"/>
          <w:kern w:val="2"/>
          <w:lang w:eastAsia="ja-JP"/>
        </w:rPr>
        <w:t>SCS</w:t>
      </w:r>
      <w:r w:rsidRPr="00535E7E">
        <w:rPr>
          <w:rFonts w:cs="Arial"/>
          <w:kern w:val="2"/>
          <w:lang w:eastAsia="ja-JP"/>
        </w:rPr>
        <w:t xml:space="preserve"> of </w:t>
      </w:r>
      <w:r w:rsidR="00DB0389">
        <w:rPr>
          <w:rFonts w:cs="Arial"/>
          <w:kern w:val="2"/>
          <w:lang w:eastAsia="ja-JP"/>
        </w:rPr>
        <w:t>a cell)</w:t>
      </w:r>
      <w:r w:rsidRPr="00535E7E">
        <w:rPr>
          <w:rFonts w:cs="Arial"/>
          <w:kern w:val="2"/>
          <w:lang w:eastAsia="ja-JP"/>
        </w:rPr>
        <w:t xml:space="preserve">. </w:t>
      </w:r>
      <w:r w:rsidR="00DB0389">
        <w:rPr>
          <w:rFonts w:cs="Arial"/>
          <w:kern w:val="2"/>
          <w:lang w:eastAsia="ja-JP"/>
        </w:rPr>
        <w:t xml:space="preserve">PUSCH2 is the leading transmission, </w:t>
      </w:r>
      <w:r>
        <w:rPr>
          <w:rFonts w:cs="Arial"/>
          <w:kern w:val="2"/>
          <w:lang w:eastAsia="ja-JP"/>
        </w:rPr>
        <w:t xml:space="preserve">PUSCH1 satisfies the timeline, PUSCH3 </w:t>
      </w:r>
      <w:r w:rsidR="00DB0389">
        <w:rPr>
          <w:rFonts w:cs="Arial"/>
          <w:kern w:val="2"/>
          <w:lang w:eastAsia="ja-JP"/>
        </w:rPr>
        <w:t>does not</w:t>
      </w:r>
      <w:r>
        <w:rPr>
          <w:rFonts w:cs="Arial"/>
          <w:kern w:val="2"/>
          <w:lang w:eastAsia="ja-JP"/>
        </w:rPr>
        <w:t xml:space="preserve"> and </w:t>
      </w:r>
      <w:r w:rsidR="00DB0389">
        <w:rPr>
          <w:rFonts w:cs="Arial"/>
          <w:kern w:val="2"/>
          <w:lang w:eastAsia="ja-JP"/>
        </w:rPr>
        <w:t>the UE can jointly determine the</w:t>
      </w:r>
      <w:r>
        <w:rPr>
          <w:rFonts w:cs="Arial"/>
          <w:kern w:val="2"/>
          <w:lang w:eastAsia="ja-JP"/>
        </w:rPr>
        <w:t xml:space="preserve"> power of </w:t>
      </w:r>
      <w:r w:rsidR="00DB0389">
        <w:rPr>
          <w:rFonts w:cs="Arial"/>
          <w:kern w:val="2"/>
          <w:lang w:eastAsia="ja-JP"/>
        </w:rPr>
        <w:t xml:space="preserve">the </w:t>
      </w:r>
      <w:r>
        <w:rPr>
          <w:rFonts w:cs="Arial"/>
          <w:kern w:val="2"/>
          <w:lang w:eastAsia="ja-JP"/>
        </w:rPr>
        <w:t xml:space="preserve">PUSCH1 </w:t>
      </w:r>
      <w:r w:rsidR="00DB0389">
        <w:rPr>
          <w:rFonts w:cs="Arial"/>
          <w:kern w:val="2"/>
          <w:lang w:eastAsia="ja-JP"/>
        </w:rPr>
        <w:t xml:space="preserve">transmission </w:t>
      </w:r>
      <w:r>
        <w:rPr>
          <w:rFonts w:cs="Arial"/>
          <w:kern w:val="2"/>
          <w:lang w:eastAsia="ja-JP"/>
        </w:rPr>
        <w:t xml:space="preserve">and </w:t>
      </w:r>
      <w:r w:rsidR="00DB0389">
        <w:rPr>
          <w:rFonts w:cs="Arial"/>
          <w:kern w:val="2"/>
          <w:lang w:eastAsia="ja-JP"/>
        </w:rPr>
        <w:t xml:space="preserve">the power of the </w:t>
      </w:r>
      <w:r>
        <w:rPr>
          <w:rFonts w:cs="Arial"/>
          <w:kern w:val="2"/>
          <w:lang w:eastAsia="ja-JP"/>
        </w:rPr>
        <w:t xml:space="preserve">PUSCH2 </w:t>
      </w:r>
      <w:r w:rsidR="00DB0389">
        <w:rPr>
          <w:rFonts w:cs="Arial"/>
          <w:kern w:val="2"/>
          <w:lang w:eastAsia="ja-JP"/>
        </w:rPr>
        <w:t>transmission</w:t>
      </w:r>
      <w:r>
        <w:rPr>
          <w:rFonts w:cs="Arial"/>
          <w:kern w:val="2"/>
          <w:lang w:eastAsia="ja-JP"/>
        </w:rPr>
        <w:t xml:space="preserve">. </w:t>
      </w:r>
      <w:r w:rsidR="00DB0389">
        <w:rPr>
          <w:rFonts w:cs="Arial"/>
          <w:kern w:val="2"/>
          <w:lang w:eastAsia="ja-JP"/>
        </w:rPr>
        <w:t xml:space="preserve">A less conservative offset than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DB0389">
        <w:rPr>
          <w:rFonts w:cs="Arial"/>
          <w:kern w:val="2"/>
          <w:lang w:eastAsia="ja-JP"/>
        </w:rPr>
        <w:t xml:space="preserve"> can also be considered. </w:t>
      </w:r>
      <w:r>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oMath>
      <w:r>
        <w:rPr>
          <w:rFonts w:cs="Arial"/>
          <w:kern w:val="2"/>
          <w:lang w:eastAsia="ja-JP"/>
        </w:rPr>
        <w:t xml:space="preserve"> should also </w:t>
      </w:r>
      <w:r w:rsidR="00DB0389">
        <w:rPr>
          <w:rFonts w:cs="Arial"/>
          <w:kern w:val="2"/>
          <w:lang w:eastAsia="ja-JP"/>
        </w:rPr>
        <w:t>allow for a</w:t>
      </w:r>
      <w:r>
        <w:rPr>
          <w:rFonts w:cs="Arial"/>
          <w:kern w:val="2"/>
          <w:lang w:eastAsia="ja-JP"/>
        </w:rPr>
        <w:t xml:space="preserve"> time </w:t>
      </w:r>
      <w:r w:rsidR="00DB0389">
        <w:rPr>
          <w:rFonts w:cs="Arial"/>
          <w:kern w:val="2"/>
          <w:lang w:eastAsia="ja-JP"/>
        </w:rPr>
        <w:t xml:space="preserve">the UE </w:t>
      </w:r>
      <w:r>
        <w:rPr>
          <w:rFonts w:cs="Arial"/>
          <w:kern w:val="2"/>
          <w:lang w:eastAsia="ja-JP"/>
        </w:rPr>
        <w:t>require</w:t>
      </w:r>
      <w:r w:rsidR="00DB0389">
        <w:rPr>
          <w:rFonts w:cs="Arial"/>
          <w:kern w:val="2"/>
          <w:lang w:eastAsia="ja-JP"/>
        </w:rPr>
        <w:t>s</w:t>
      </w:r>
      <w:r>
        <w:rPr>
          <w:rFonts w:cs="Arial"/>
          <w:kern w:val="2"/>
          <w:lang w:eastAsia="ja-JP"/>
        </w:rPr>
        <w:t xml:space="preserve"> for power determination. </w:t>
      </w:r>
      <w:r w:rsidR="00DB0389">
        <w:rPr>
          <w:rFonts w:cs="Arial"/>
          <w:kern w:val="2"/>
          <w:lang w:eastAsia="ja-JP"/>
        </w:rPr>
        <w:t>The</w:t>
      </w:r>
      <w:r>
        <w:rPr>
          <w:rFonts w:cs="Arial"/>
          <w:kern w:val="2"/>
          <w:lang w:eastAsia="ja-JP"/>
        </w:rPr>
        <w:t xml:space="preserve"> timeline </w:t>
      </w:r>
      <w:r w:rsidR="00DB0389">
        <w:rPr>
          <w:rFonts w:cs="Arial"/>
          <w:kern w:val="2"/>
          <w:lang w:eastAsia="ja-JP"/>
        </w:rPr>
        <w:t>is</w:t>
      </w:r>
      <w:r>
        <w:rPr>
          <w:rFonts w:cs="Arial"/>
          <w:kern w:val="2"/>
          <w:lang w:eastAsia="ja-JP"/>
        </w:rPr>
        <w:t xml:space="preserve"> essentially equivalent in terms of UE impact to the </w:t>
      </w:r>
      <w:r w:rsidR="00DB0389">
        <w:rPr>
          <w:rFonts w:cs="Arial"/>
          <w:kern w:val="2"/>
          <w:lang w:eastAsia="ja-JP"/>
        </w:rPr>
        <w:t>R</w:t>
      </w:r>
      <w:r>
        <w:rPr>
          <w:rFonts w:cs="Arial"/>
          <w:kern w:val="2"/>
          <w:lang w:eastAsia="ja-JP"/>
        </w:rPr>
        <w:t xml:space="preserve">el-15 </w:t>
      </w:r>
      <w:r w:rsidR="00DB0389">
        <w:rPr>
          <w:rFonts w:cs="Arial"/>
          <w:kern w:val="2"/>
          <w:lang w:eastAsia="ja-JP"/>
        </w:rPr>
        <w:t>one</w:t>
      </w:r>
      <w:r>
        <w:rPr>
          <w:rFonts w:cs="Arial"/>
          <w:kern w:val="2"/>
          <w:lang w:eastAsia="ja-JP"/>
        </w:rPr>
        <w:t xml:space="preserve"> described in Figure 1(b). </w:t>
      </w:r>
      <w:r w:rsidR="00DB0389">
        <w:rPr>
          <w:rFonts w:cs="Arial"/>
          <w:kern w:val="2"/>
          <w:lang w:eastAsia="ja-JP"/>
        </w:rPr>
        <w:t>The</w:t>
      </w:r>
      <w:r>
        <w:rPr>
          <w:rFonts w:cs="Arial"/>
          <w:kern w:val="2"/>
          <w:lang w:eastAsia="ja-JP"/>
        </w:rPr>
        <w:t xml:space="preserve"> </w:t>
      </w:r>
      <w:r w:rsidR="00DB0389">
        <w:rPr>
          <w:rFonts w:cs="Arial"/>
          <w:kern w:val="2"/>
          <w:lang w:eastAsia="ja-JP"/>
        </w:rPr>
        <w:t>Rel</w:t>
      </w:r>
      <w:r>
        <w:rPr>
          <w:rFonts w:cs="Arial"/>
          <w:kern w:val="2"/>
          <w:lang w:eastAsia="ja-JP"/>
        </w:rPr>
        <w:t xml:space="preserve">-15 </w:t>
      </w:r>
      <w:r w:rsidR="00DB0389">
        <w:rPr>
          <w:rFonts w:cs="Arial"/>
          <w:kern w:val="2"/>
          <w:lang w:eastAsia="ja-JP"/>
        </w:rPr>
        <w:t xml:space="preserve">UE operation is </w:t>
      </w:r>
      <w:r>
        <w:rPr>
          <w:rFonts w:cs="Arial"/>
          <w:kern w:val="2"/>
          <w:lang w:eastAsia="ja-JP"/>
        </w:rPr>
        <w:t xml:space="preserve">per-symbol </w:t>
      </w:r>
      <w:r w:rsidR="00DB0389">
        <w:rPr>
          <w:rFonts w:cs="Arial"/>
          <w:kern w:val="2"/>
          <w:lang w:eastAsia="ja-JP"/>
        </w:rPr>
        <w:t>and</w:t>
      </w:r>
      <w:r>
        <w:rPr>
          <w:rFonts w:cs="Arial"/>
          <w:kern w:val="2"/>
          <w:lang w:eastAsia="ja-JP"/>
        </w:rPr>
        <w:t xml:space="preserve"> implicitly requires a UE to handle dynamic overlapping transmission with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Pr>
          <w:rFonts w:cs="Arial"/>
          <w:kern w:val="2"/>
          <w:lang w:eastAsia="ja-JP"/>
        </w:rPr>
        <w:t xml:space="preserve"> processing time</w:t>
      </w:r>
      <w:r w:rsidR="002B21B8">
        <w:rPr>
          <w:rFonts w:cs="Arial"/>
          <w:kern w:val="2"/>
          <w:lang w:eastAsia="ja-JP"/>
        </w:rPr>
        <w:t xml:space="preserve">, i.e., acknowledging </w:t>
      </w:r>
      <w:r w:rsidR="008A043D">
        <w:rPr>
          <w:rFonts w:cs="Arial"/>
          <w:kern w:val="2"/>
          <w:lang w:eastAsia="ja-JP"/>
        </w:rPr>
        <w:t>PUSCH</w:t>
      </w:r>
      <w:r w:rsidR="00DB0389">
        <w:rPr>
          <w:rFonts w:cs="Arial"/>
          <w:kern w:val="2"/>
          <w:lang w:eastAsia="ja-JP"/>
        </w:rPr>
        <w:t>1</w:t>
      </w:r>
      <w:r w:rsidR="008A043D">
        <w:rPr>
          <w:rFonts w:cs="Arial"/>
          <w:kern w:val="2"/>
          <w:lang w:eastAsia="ja-JP"/>
        </w:rPr>
        <w:t xml:space="preserve"> </w:t>
      </w:r>
      <w:r w:rsidR="00DB0389">
        <w:rPr>
          <w:rFonts w:cs="Arial"/>
          <w:kern w:val="2"/>
          <w:lang w:eastAsia="ja-JP"/>
        </w:rPr>
        <w:t>for which the UE obtains the UL grant</w:t>
      </w:r>
      <w:r w:rsidR="008A043D">
        <w:rPr>
          <w:rFonts w:cs="Arial"/>
          <w:kern w:val="2"/>
          <w:lang w:eastAsia="ja-JP"/>
        </w:rPr>
        <w:t xml:space="preserv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8A043D">
        <w:rPr>
          <w:rFonts w:cs="Arial"/>
          <w:kern w:val="2"/>
          <w:lang w:eastAsia="ja-JP"/>
        </w:rPr>
        <w:t xml:space="preserve"> earlier at the highlighted symbol boundary</w:t>
      </w:r>
      <w:r>
        <w:rPr>
          <w:rFonts w:cs="Arial"/>
          <w:kern w:val="2"/>
          <w:lang w:eastAsia="ja-JP"/>
        </w:rPr>
        <w:t xml:space="preserve">. The main modification </w:t>
      </w:r>
      <w:r w:rsidR="00C00904">
        <w:rPr>
          <w:rFonts w:cs="Arial"/>
          <w:kern w:val="2"/>
          <w:lang w:eastAsia="ja-JP"/>
        </w:rPr>
        <w:t>of ‘look-ahead’ for transmission power determination compared to</w:t>
      </w:r>
      <w:r>
        <w:rPr>
          <w:rFonts w:cs="Arial"/>
          <w:kern w:val="2"/>
          <w:lang w:eastAsia="ja-JP"/>
        </w:rPr>
        <w:t xml:space="preserve"> </w:t>
      </w:r>
      <w:r w:rsidR="00C00904">
        <w:rPr>
          <w:rFonts w:cs="Arial"/>
          <w:kern w:val="2"/>
          <w:lang w:eastAsia="ja-JP"/>
        </w:rPr>
        <w:t>the</w:t>
      </w:r>
      <w:r>
        <w:rPr>
          <w:rFonts w:cs="Arial"/>
          <w:kern w:val="2"/>
          <w:lang w:eastAsia="ja-JP"/>
        </w:rPr>
        <w:t xml:space="preserve"> </w:t>
      </w:r>
      <w:r w:rsidR="00C00904">
        <w:rPr>
          <w:rFonts w:cs="Arial"/>
          <w:kern w:val="2"/>
          <w:lang w:eastAsia="ja-JP"/>
        </w:rPr>
        <w:t>R</w:t>
      </w:r>
      <w:r>
        <w:rPr>
          <w:rFonts w:cs="Arial"/>
          <w:kern w:val="2"/>
          <w:lang w:eastAsia="ja-JP"/>
        </w:rPr>
        <w:t xml:space="preserve">el-15 </w:t>
      </w:r>
      <w:r w:rsidR="00C00904">
        <w:rPr>
          <w:rFonts w:cs="Arial"/>
          <w:kern w:val="2"/>
          <w:lang w:eastAsia="ja-JP"/>
        </w:rPr>
        <w:t xml:space="preserve">UE </w:t>
      </w:r>
      <w:r>
        <w:rPr>
          <w:rFonts w:cs="Arial"/>
          <w:kern w:val="2"/>
          <w:lang w:eastAsia="ja-JP"/>
        </w:rPr>
        <w:t xml:space="preserve">behavior is </w:t>
      </w:r>
      <w:r w:rsidR="00C00904">
        <w:rPr>
          <w:rFonts w:cs="Arial"/>
          <w:kern w:val="2"/>
          <w:lang w:eastAsia="ja-JP"/>
        </w:rPr>
        <w:t>that</w:t>
      </w:r>
      <w:r>
        <w:rPr>
          <w:rFonts w:cs="Arial"/>
          <w:kern w:val="2"/>
          <w:lang w:eastAsia="ja-JP"/>
        </w:rPr>
        <w:t xml:space="preserve"> the decision boundary </w:t>
      </w:r>
      <w:r w:rsidR="00C00904">
        <w:rPr>
          <w:rFonts w:cs="Arial"/>
          <w:kern w:val="2"/>
          <w:lang w:eastAsia="ja-JP"/>
        </w:rPr>
        <w:t xml:space="preserve">is set </w:t>
      </w:r>
      <w:r>
        <w:rPr>
          <w:rFonts w:cs="Arial"/>
          <w:kern w:val="2"/>
          <w:lang w:eastAsia="ja-JP"/>
        </w:rPr>
        <w:t>at the start of the leading transmission and not at every symbol boundary</w:t>
      </w:r>
      <w:r w:rsidR="00C00904">
        <w:rPr>
          <w:rFonts w:cs="Arial"/>
          <w:kern w:val="2"/>
          <w:lang w:eastAsia="ja-JP"/>
        </w:rPr>
        <w:t xml:space="preserve"> resulting to a UE operation that is actually simpler than in Rel-15</w:t>
      </w:r>
      <w:r>
        <w:rPr>
          <w:rFonts w:cs="Arial"/>
          <w:kern w:val="2"/>
          <w:lang w:eastAsia="ja-JP"/>
        </w:rPr>
        <w:t>.</w:t>
      </w:r>
    </w:p>
    <w:p w14:paraId="18226528" w14:textId="77777777" w:rsidR="00F4458D" w:rsidRDefault="00F4458D" w:rsidP="00300083">
      <w:pPr>
        <w:spacing w:after="0"/>
        <w:jc w:val="both"/>
        <w:rPr>
          <w:rFonts w:cs="Arial"/>
          <w:kern w:val="2"/>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8993"/>
      </w:tblGrid>
      <w:tr w:rsidR="00F4458D" w14:paraId="737AABA1" w14:textId="77777777" w:rsidTr="00B41F81">
        <w:tc>
          <w:tcPr>
            <w:tcW w:w="630" w:type="dxa"/>
          </w:tcPr>
          <w:p w14:paraId="513085C5" w14:textId="0E746803" w:rsidR="00F4458D" w:rsidRDefault="00F4458D" w:rsidP="00300083">
            <w:pPr>
              <w:spacing w:after="0"/>
              <w:jc w:val="both"/>
              <w:rPr>
                <w:rFonts w:cs="Arial"/>
                <w:kern w:val="2"/>
                <w:lang w:eastAsia="ja-JP"/>
              </w:rPr>
            </w:pPr>
          </w:p>
          <w:p w14:paraId="13C6D98F" w14:textId="77777777" w:rsidR="00A07108" w:rsidRDefault="00A07108" w:rsidP="00300083">
            <w:pPr>
              <w:spacing w:after="0"/>
              <w:jc w:val="both"/>
              <w:rPr>
                <w:rFonts w:cs="Arial"/>
                <w:kern w:val="2"/>
                <w:lang w:eastAsia="ja-JP"/>
              </w:rPr>
            </w:pPr>
          </w:p>
          <w:p w14:paraId="4D88A6D0" w14:textId="77777777" w:rsidR="00A07108" w:rsidRPr="00B41F81" w:rsidRDefault="00A07108" w:rsidP="00300083">
            <w:pPr>
              <w:spacing w:after="0"/>
              <w:jc w:val="both"/>
              <w:rPr>
                <w:rFonts w:cs="Arial"/>
                <w:kern w:val="2"/>
                <w:sz w:val="18"/>
                <w:szCs w:val="18"/>
                <w:lang w:eastAsia="ja-JP"/>
              </w:rPr>
            </w:pPr>
            <w:r w:rsidRPr="00B41F81">
              <w:rPr>
                <w:rFonts w:cs="Arial"/>
                <w:kern w:val="2"/>
                <w:sz w:val="18"/>
                <w:szCs w:val="18"/>
                <w:lang w:eastAsia="ja-JP"/>
              </w:rPr>
              <w:t>MCG</w:t>
            </w:r>
          </w:p>
          <w:p w14:paraId="22C6E487" w14:textId="77777777" w:rsidR="00A07108" w:rsidRPr="00B41F81" w:rsidRDefault="00A07108" w:rsidP="00300083">
            <w:pPr>
              <w:spacing w:after="0"/>
              <w:jc w:val="both"/>
              <w:rPr>
                <w:rFonts w:cs="Arial"/>
                <w:kern w:val="2"/>
                <w:sz w:val="18"/>
                <w:szCs w:val="18"/>
                <w:lang w:eastAsia="ja-JP"/>
              </w:rPr>
            </w:pPr>
          </w:p>
          <w:p w14:paraId="4339D3AD" w14:textId="77777777" w:rsidR="00A07108" w:rsidRPr="00B41F81" w:rsidRDefault="00A07108" w:rsidP="00300083">
            <w:pPr>
              <w:spacing w:after="0"/>
              <w:jc w:val="both"/>
              <w:rPr>
                <w:rFonts w:cs="Arial"/>
                <w:kern w:val="2"/>
                <w:sz w:val="18"/>
                <w:szCs w:val="18"/>
                <w:lang w:eastAsia="ja-JP"/>
              </w:rPr>
            </w:pPr>
          </w:p>
          <w:p w14:paraId="1C7A7C60" w14:textId="77777777" w:rsidR="00A07108" w:rsidRPr="00B41F81" w:rsidRDefault="00A07108" w:rsidP="00300083">
            <w:pPr>
              <w:spacing w:after="0"/>
              <w:jc w:val="both"/>
              <w:rPr>
                <w:rFonts w:cs="Arial"/>
                <w:kern w:val="2"/>
                <w:sz w:val="18"/>
                <w:szCs w:val="18"/>
                <w:lang w:eastAsia="ja-JP"/>
              </w:rPr>
            </w:pPr>
          </w:p>
          <w:p w14:paraId="6A901CE4" w14:textId="77777777" w:rsidR="00A07108" w:rsidRDefault="00A07108" w:rsidP="00300083">
            <w:pPr>
              <w:spacing w:after="0"/>
              <w:jc w:val="both"/>
              <w:rPr>
                <w:rFonts w:cs="Arial"/>
                <w:kern w:val="2"/>
                <w:sz w:val="18"/>
                <w:szCs w:val="18"/>
                <w:lang w:eastAsia="ja-JP"/>
              </w:rPr>
            </w:pPr>
            <w:r w:rsidRPr="00B41F81">
              <w:rPr>
                <w:rFonts w:cs="Arial"/>
                <w:kern w:val="2"/>
                <w:sz w:val="18"/>
                <w:szCs w:val="18"/>
                <w:lang w:eastAsia="ja-JP"/>
              </w:rPr>
              <w:t>SCG</w:t>
            </w:r>
          </w:p>
          <w:p w14:paraId="35B1547C" w14:textId="77777777" w:rsidR="00A07108" w:rsidRDefault="00A07108" w:rsidP="00300083">
            <w:pPr>
              <w:spacing w:after="0"/>
              <w:jc w:val="both"/>
              <w:rPr>
                <w:rFonts w:cs="Arial"/>
                <w:kern w:val="2"/>
                <w:sz w:val="18"/>
                <w:szCs w:val="18"/>
                <w:lang w:eastAsia="ja-JP"/>
              </w:rPr>
            </w:pPr>
          </w:p>
          <w:p w14:paraId="6F02E3F9" w14:textId="77777777" w:rsidR="00A07108" w:rsidRDefault="00A07108" w:rsidP="00300083">
            <w:pPr>
              <w:spacing w:after="0"/>
              <w:jc w:val="both"/>
              <w:rPr>
                <w:rFonts w:cs="Arial"/>
                <w:kern w:val="2"/>
                <w:sz w:val="18"/>
                <w:szCs w:val="18"/>
                <w:lang w:eastAsia="ja-JP"/>
              </w:rPr>
            </w:pPr>
          </w:p>
          <w:p w14:paraId="5CF0B9DF" w14:textId="77777777" w:rsidR="00A07108" w:rsidRDefault="00A07108" w:rsidP="00300083">
            <w:pPr>
              <w:spacing w:after="0"/>
              <w:jc w:val="both"/>
              <w:rPr>
                <w:rFonts w:cs="Arial"/>
                <w:kern w:val="2"/>
                <w:sz w:val="18"/>
                <w:szCs w:val="18"/>
                <w:lang w:eastAsia="ja-JP"/>
              </w:rPr>
            </w:pPr>
          </w:p>
          <w:p w14:paraId="35AF36D7" w14:textId="1A1787F1" w:rsidR="00A07108" w:rsidRDefault="00A07108" w:rsidP="00300083">
            <w:pPr>
              <w:spacing w:after="0"/>
              <w:jc w:val="both"/>
              <w:rPr>
                <w:rFonts w:cs="Arial"/>
                <w:kern w:val="2"/>
                <w:lang w:eastAsia="ja-JP"/>
              </w:rPr>
            </w:pPr>
            <w:r>
              <w:rPr>
                <w:rFonts w:cs="Arial"/>
                <w:kern w:val="2"/>
                <w:sz w:val="18"/>
                <w:szCs w:val="18"/>
                <w:lang w:eastAsia="ja-JP"/>
              </w:rPr>
              <w:t>SCG</w:t>
            </w:r>
          </w:p>
        </w:tc>
        <w:tc>
          <w:tcPr>
            <w:tcW w:w="8993" w:type="dxa"/>
          </w:tcPr>
          <w:p w14:paraId="2663E2EF" w14:textId="77777777" w:rsidR="00F4458D" w:rsidRDefault="00F4458D" w:rsidP="00F4458D">
            <w:pPr>
              <w:keepNext/>
              <w:spacing w:after="0"/>
              <w:jc w:val="both"/>
            </w:pPr>
            <w:r>
              <w:rPr>
                <w:noProof/>
                <w:lang w:eastAsia="ko-KR"/>
              </w:rPr>
              <w:drawing>
                <wp:inline distT="0" distB="0" distL="0" distR="0" wp14:anchorId="3411AE0B" wp14:editId="254EBAB5">
                  <wp:extent cx="6116955" cy="186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955" cy="1861185"/>
                          </a:xfrm>
                          <a:prstGeom prst="rect">
                            <a:avLst/>
                          </a:prstGeom>
                        </pic:spPr>
                      </pic:pic>
                    </a:graphicData>
                  </a:graphic>
                </wp:inline>
              </w:drawing>
            </w:r>
          </w:p>
          <w:p w14:paraId="1DD79BA4" w14:textId="5B366D7F" w:rsidR="00F4458D" w:rsidRPr="00B41F81" w:rsidRDefault="00F4458D" w:rsidP="00B41F81">
            <w:pPr>
              <w:pStyle w:val="ListParagraph"/>
              <w:keepNext/>
              <w:numPr>
                <w:ilvl w:val="0"/>
                <w:numId w:val="50"/>
              </w:numPr>
              <w:spacing w:after="0"/>
              <w:jc w:val="both"/>
            </w:pPr>
            <w:r>
              <w:t xml:space="preserve">                                                                                      (b)</w:t>
            </w:r>
          </w:p>
        </w:tc>
      </w:tr>
    </w:tbl>
    <w:p w14:paraId="5096F490" w14:textId="348ACF8B" w:rsidR="00300083" w:rsidRDefault="00300083" w:rsidP="0030008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F945CB">
        <w:t xml:space="preserve">: </w:t>
      </w:r>
      <w:r w:rsidR="005B7496">
        <w:t xml:space="preserve">(a) </w:t>
      </w:r>
      <w:r w:rsidR="00F945CB">
        <w:t xml:space="preserve">‘Look-ahead’ </w:t>
      </w:r>
      <w:r w:rsidR="005B7496">
        <w:t>determination of</w:t>
      </w:r>
      <w:r w:rsidR="00F945CB">
        <w:t xml:space="preserve"> transmission power (</w:t>
      </w:r>
      <w:r w:rsidR="005B7496">
        <w:t>d</w:t>
      </w:r>
      <w:r w:rsidR="00F945CB">
        <w:t xml:space="preserve">) Rel-15 </w:t>
      </w:r>
      <w:r w:rsidR="005B7496">
        <w:t>determination of transmission power</w:t>
      </w:r>
    </w:p>
    <w:p w14:paraId="1E1B528F" w14:textId="77777777" w:rsidR="00AC1C5B" w:rsidRDefault="00AC1C5B" w:rsidP="00B14AF0">
      <w:pPr>
        <w:spacing w:after="0"/>
        <w:jc w:val="both"/>
        <w:rPr>
          <w:rFonts w:cs="Arial"/>
          <w:kern w:val="2"/>
          <w:lang w:eastAsia="ja-JP"/>
        </w:rPr>
      </w:pPr>
    </w:p>
    <w:p w14:paraId="1BAFF075" w14:textId="5BFF3E33" w:rsidR="006C4F32" w:rsidRDefault="006C4F32" w:rsidP="006C4F32">
      <w:pPr>
        <w:spacing w:after="0"/>
        <w:jc w:val="both"/>
        <w:rPr>
          <w:b/>
          <w:u w:val="single"/>
        </w:rPr>
      </w:pPr>
      <w:r>
        <w:rPr>
          <w:rFonts w:cs="Arial"/>
          <w:b/>
          <w:kern w:val="2"/>
          <w:u w:val="single"/>
          <w:lang w:eastAsia="ja-JP"/>
        </w:rPr>
        <w:t>Proposal 2: Introduce a UE capability for a UE to indicate whether or not, for determining a power at a transmission occasion, the</w:t>
      </w:r>
      <w:r>
        <w:rPr>
          <w:b/>
          <w:u w:val="single"/>
        </w:rPr>
        <w:t xml:space="preserve"> UE can consider a power for a later scheduled overlapping transmission subject to Rel-15 timelines for determining a channel among overlapping channels for UCI multiplexing. </w:t>
      </w:r>
    </w:p>
    <w:p w14:paraId="2D229313" w14:textId="77777777" w:rsidR="0015440B" w:rsidRDefault="0015440B" w:rsidP="006C4F32">
      <w:pPr>
        <w:spacing w:after="0"/>
        <w:jc w:val="both"/>
        <w:rPr>
          <w:b/>
          <w:u w:val="single"/>
        </w:rPr>
      </w:pPr>
    </w:p>
    <w:p w14:paraId="229115E0" w14:textId="0FA0F6A3" w:rsidR="006C4F32" w:rsidRDefault="0015440B" w:rsidP="001E5C1A">
      <w:pPr>
        <w:tabs>
          <w:tab w:val="left" w:pos="8437"/>
        </w:tabs>
        <w:spacing w:after="0"/>
        <w:jc w:val="both"/>
        <w:rPr>
          <w:rFonts w:cs="Arial"/>
          <w:kern w:val="2"/>
          <w:lang w:eastAsia="ja-JP"/>
        </w:rPr>
      </w:pPr>
      <w:r>
        <w:rPr>
          <w:rFonts w:cs="Arial"/>
          <w:kern w:val="2"/>
          <w:lang w:eastAsia="ja-JP"/>
        </w:rPr>
        <w:tab/>
      </w:r>
    </w:p>
    <w:p w14:paraId="55225C5D" w14:textId="77777777" w:rsidR="0084581D" w:rsidRDefault="00B14AF0" w:rsidP="00B14AF0">
      <w:pPr>
        <w:spacing w:after="0"/>
        <w:jc w:val="both"/>
        <w:rPr>
          <w:rFonts w:cs="Arial"/>
          <w:kern w:val="2"/>
          <w:lang w:eastAsia="ja-JP"/>
        </w:rPr>
      </w:pPr>
      <w:r>
        <w:rPr>
          <w:rFonts w:cs="Arial"/>
          <w:kern w:val="2"/>
          <w:lang w:eastAsia="ja-JP"/>
        </w:rPr>
        <w:t xml:space="preserve">Inevitably, with dynamic power sharing (even with ‘look-ahead’), scaling of a transmission power is unavoidable. </w:t>
      </w:r>
      <w:r w:rsidR="002A3740">
        <w:rPr>
          <w:rFonts w:cs="Arial"/>
          <w:kern w:val="2"/>
          <w:lang w:eastAsia="ja-JP"/>
        </w:rPr>
        <w:t>T</w:t>
      </w:r>
      <w:r>
        <w:rPr>
          <w:rFonts w:cs="Arial"/>
          <w:kern w:val="2"/>
          <w:lang w:eastAsia="ja-JP"/>
        </w:rPr>
        <w:t xml:space="preserve">he Rel-15 NR framework can be reused, including dropping a transmission when a power needs to be reduced by more than X </w:t>
      </w:r>
      <w:proofErr w:type="spellStart"/>
      <w:r>
        <w:rPr>
          <w:rFonts w:cs="Arial"/>
          <w:kern w:val="2"/>
          <w:lang w:eastAsia="ja-JP"/>
        </w:rPr>
        <w:t>dB.</w:t>
      </w:r>
      <w:proofErr w:type="spellEnd"/>
      <w:r>
        <w:rPr>
          <w:rFonts w:cs="Arial"/>
          <w:kern w:val="2"/>
          <w:lang w:eastAsia="ja-JP"/>
        </w:rPr>
        <w:t xml:space="preserve"> </w:t>
      </w:r>
      <w:r w:rsidR="00B35D8D">
        <w:rPr>
          <w:rFonts w:cs="Arial"/>
          <w:kern w:val="2"/>
          <w:lang w:eastAsia="ja-JP"/>
        </w:rPr>
        <w:t>PH reporting can also remain as in EN-DC (and LTE DC).</w:t>
      </w:r>
      <w:r w:rsidR="002A3740">
        <w:rPr>
          <w:rFonts w:cs="Arial"/>
          <w:kern w:val="2"/>
          <w:lang w:eastAsia="ja-JP"/>
        </w:rPr>
        <w:t xml:space="preserve"> </w:t>
      </w:r>
    </w:p>
    <w:p w14:paraId="237D923C" w14:textId="77777777" w:rsidR="00B14AF0" w:rsidRDefault="00B14AF0" w:rsidP="00B14AF0">
      <w:pPr>
        <w:spacing w:after="0"/>
        <w:jc w:val="both"/>
        <w:rPr>
          <w:rFonts w:cs="Arial"/>
          <w:kern w:val="2"/>
          <w:lang w:eastAsia="ja-JP"/>
        </w:rPr>
      </w:pPr>
      <w:r>
        <w:rPr>
          <w:rFonts w:cs="Arial"/>
          <w:kern w:val="2"/>
          <w:lang w:eastAsia="ja-JP"/>
        </w:rPr>
        <w:t xml:space="preserve"> </w:t>
      </w:r>
    </w:p>
    <w:p w14:paraId="235FCE3B" w14:textId="60DAD353" w:rsidR="00B14AF0" w:rsidRDefault="00B14AF0" w:rsidP="00B14AF0">
      <w:pPr>
        <w:spacing w:after="0"/>
        <w:jc w:val="both"/>
        <w:rPr>
          <w:rFonts w:cs="Arial"/>
          <w:b/>
          <w:kern w:val="2"/>
          <w:u w:val="single"/>
          <w:lang w:eastAsia="ja-JP"/>
        </w:rPr>
      </w:pPr>
      <w:r>
        <w:rPr>
          <w:rFonts w:cs="Arial"/>
          <w:b/>
          <w:kern w:val="2"/>
          <w:u w:val="single"/>
          <w:lang w:eastAsia="ja-JP"/>
        </w:rPr>
        <w:t>Proposal 3: Re-use the Rel-15 EN-DC framework for determining scaling of transmission power</w:t>
      </w:r>
      <w:r w:rsidR="00B35D8D">
        <w:rPr>
          <w:rFonts w:cs="Arial"/>
          <w:b/>
          <w:kern w:val="2"/>
          <w:u w:val="single"/>
          <w:lang w:eastAsia="ja-JP"/>
        </w:rPr>
        <w:t xml:space="preserve"> and actual/virtual PHR</w:t>
      </w:r>
      <w:r>
        <w:rPr>
          <w:rFonts w:cs="Arial"/>
          <w:b/>
          <w:kern w:val="2"/>
          <w:u w:val="single"/>
          <w:lang w:eastAsia="ja-JP"/>
        </w:rPr>
        <w:t>.</w:t>
      </w:r>
    </w:p>
    <w:p w14:paraId="1982EE6E" w14:textId="62B7F943" w:rsidR="0084581D" w:rsidRDefault="0084581D" w:rsidP="00341508">
      <w:pPr>
        <w:spacing w:after="0"/>
        <w:jc w:val="both"/>
        <w:rPr>
          <w:rFonts w:cs="Arial"/>
          <w:kern w:val="2"/>
          <w:lang w:eastAsia="ja-JP"/>
        </w:rPr>
      </w:pPr>
    </w:p>
    <w:p w14:paraId="46E265FE" w14:textId="77777777" w:rsidR="006F4127" w:rsidRDefault="006F4127" w:rsidP="00341508">
      <w:pPr>
        <w:spacing w:after="0"/>
        <w:jc w:val="both"/>
        <w:rPr>
          <w:rFonts w:cs="Arial"/>
          <w:kern w:val="2"/>
          <w:lang w:eastAsia="ja-JP"/>
        </w:rPr>
      </w:pPr>
    </w:p>
    <w:p w14:paraId="12B73FD5" w14:textId="0973C2E4" w:rsidR="0084581D" w:rsidRDefault="0084581D" w:rsidP="0084581D">
      <w:pPr>
        <w:spacing w:after="0"/>
        <w:jc w:val="both"/>
        <w:rPr>
          <w:rFonts w:cs="Arial"/>
          <w:kern w:val="2"/>
          <w:lang w:eastAsia="ja-JP"/>
        </w:rPr>
      </w:pPr>
      <w:r>
        <w:rPr>
          <w:rFonts w:cs="Arial"/>
          <w:kern w:val="2"/>
          <w:lang w:eastAsia="ja-JP"/>
        </w:rPr>
        <w:t>Prioritizing power allocation to an ongoing transmission (as in asynchronous DC operation in LTE) can also be considered to avoid power scaling of an ongoing transmission. Although a UE already supports such scaling for CA operation, it can be beneficial to avoid for inter-CG transmissions.</w:t>
      </w:r>
      <w:r w:rsidR="006F4127">
        <w:rPr>
          <w:rFonts w:cs="Arial"/>
          <w:kern w:val="2"/>
          <w:lang w:eastAsia="ja-JP"/>
        </w:rPr>
        <w:t xml:space="preserve"> This can be both from an operational perspective, as avoidance of power scaling is easier in CA than in DC, and to potentially facilitate particular UE implementations. </w:t>
      </w:r>
    </w:p>
    <w:p w14:paraId="0C5E24D2" w14:textId="77777777" w:rsidR="0084581D" w:rsidRDefault="0084581D" w:rsidP="00341508">
      <w:pPr>
        <w:spacing w:after="0"/>
        <w:jc w:val="both"/>
        <w:rPr>
          <w:rFonts w:cs="Arial"/>
          <w:kern w:val="2"/>
          <w:lang w:eastAsia="ja-JP"/>
        </w:rPr>
      </w:pPr>
    </w:p>
    <w:p w14:paraId="19FF7DD8" w14:textId="77777777" w:rsidR="00633279" w:rsidRDefault="00633279" w:rsidP="00341508">
      <w:pPr>
        <w:spacing w:after="0"/>
        <w:jc w:val="both"/>
        <w:rPr>
          <w:rFonts w:cs="Arial"/>
          <w:kern w:val="2"/>
          <w:lang w:eastAsia="ja-JP"/>
        </w:rPr>
      </w:pPr>
    </w:p>
    <w:p w14:paraId="798B8701" w14:textId="77777777" w:rsidR="00A31995" w:rsidRDefault="00A31995" w:rsidP="00A31995">
      <w:pPr>
        <w:spacing w:after="120"/>
        <w:jc w:val="both"/>
        <w:rPr>
          <w:rFonts w:cs="Arial"/>
          <w:b/>
          <w:kern w:val="2"/>
          <w:u w:val="single"/>
          <w:lang w:eastAsia="ja-JP"/>
        </w:rPr>
      </w:pPr>
      <w:r>
        <w:rPr>
          <w:rFonts w:cs="Arial"/>
          <w:b/>
          <w:kern w:val="2"/>
          <w:u w:val="single"/>
          <w:lang w:eastAsia="ja-JP"/>
        </w:rPr>
        <w:t>‘Guaranteed minimum power’</w:t>
      </w:r>
      <w:r w:rsidRPr="00922A6F">
        <w:rPr>
          <w:rFonts w:cs="Arial"/>
          <w:b/>
          <w:kern w:val="2"/>
          <w:u w:val="single"/>
          <w:lang w:eastAsia="ja-JP"/>
        </w:rPr>
        <w:t xml:space="preserve"> vs</w:t>
      </w:r>
      <w:r>
        <w:rPr>
          <w:rFonts w:cs="Arial"/>
          <w:b/>
          <w:kern w:val="2"/>
          <w:u w:val="single"/>
          <w:lang w:eastAsia="ja-JP"/>
        </w:rPr>
        <w:t>. ‘no guaranteed minimum power’</w:t>
      </w:r>
    </w:p>
    <w:p w14:paraId="78C732C3" w14:textId="68B0D3BD" w:rsidR="00A31995" w:rsidRDefault="00A31995" w:rsidP="00A31995">
      <w:pPr>
        <w:spacing w:after="0"/>
        <w:jc w:val="both"/>
        <w:rPr>
          <w:rFonts w:cs="Arial"/>
          <w:kern w:val="2"/>
          <w:lang w:eastAsia="ja-JP"/>
        </w:rPr>
      </w:pPr>
      <w:r>
        <w:rPr>
          <w:rFonts w:cs="Arial"/>
          <w:kern w:val="2"/>
          <w:lang w:eastAsia="ja-JP"/>
        </w:rPr>
        <w:t>A guaranteed minimum power can protect transmissions, such as a PUCCH with HARQ-ACK information or a</w:t>
      </w:r>
      <w:r w:rsidR="006C4F32">
        <w:rPr>
          <w:rFonts w:cs="Arial"/>
          <w:kern w:val="2"/>
          <w:lang w:eastAsia="ja-JP"/>
        </w:rPr>
        <w:t>n</w:t>
      </w:r>
      <w:r>
        <w:rPr>
          <w:rFonts w:cs="Arial"/>
          <w:kern w:val="2"/>
          <w:lang w:eastAsia="ja-JP"/>
        </w:rPr>
        <w:t xml:space="preserve"> SRS and allow for reliable HARQ-ACK feedback (particularly in absence of CRC) or link adaptation (particularly for the NR deployments in unpaired spectrum). </w:t>
      </w:r>
    </w:p>
    <w:p w14:paraId="0CF3575B" w14:textId="77777777" w:rsidR="00386420" w:rsidRDefault="00386420" w:rsidP="00A31995">
      <w:pPr>
        <w:spacing w:after="0"/>
        <w:jc w:val="both"/>
        <w:rPr>
          <w:rFonts w:cs="Arial"/>
          <w:kern w:val="2"/>
          <w:lang w:eastAsia="ja-JP"/>
        </w:rPr>
      </w:pPr>
    </w:p>
    <w:p w14:paraId="6E6B02EA" w14:textId="77777777" w:rsidR="00386420" w:rsidRDefault="00386420" w:rsidP="00A31995">
      <w:pPr>
        <w:spacing w:after="0"/>
        <w:jc w:val="both"/>
        <w:rPr>
          <w:rFonts w:cs="Arial"/>
          <w:kern w:val="2"/>
          <w:lang w:eastAsia="ja-JP"/>
        </w:rPr>
      </w:pPr>
      <w:r>
        <w:rPr>
          <w:rFonts w:cs="Arial"/>
          <w:kern w:val="2"/>
          <w:lang w:eastAsia="ja-JP"/>
        </w:rPr>
        <w:t xml:space="preserve">To support semi-static power sharing, the </w:t>
      </w:r>
      <w:proofErr w:type="spellStart"/>
      <w:r>
        <w:rPr>
          <w:rFonts w:cs="Arial"/>
          <w:kern w:val="2"/>
          <w:lang w:eastAsia="ja-JP"/>
        </w:rPr>
        <w:t>gNB</w:t>
      </w:r>
      <w:proofErr w:type="spellEnd"/>
      <w:r>
        <w:rPr>
          <w:rFonts w:cs="Arial"/>
          <w:kern w:val="2"/>
          <w:lang w:eastAsia="ja-JP"/>
        </w:rPr>
        <w:t xml:space="preserve"> can indicate whether the configured powers for the MCG and the SCG are minimum ones or maximum ones.</w:t>
      </w:r>
    </w:p>
    <w:p w14:paraId="1A5BC871" w14:textId="77777777" w:rsidR="00A31995" w:rsidRDefault="00A31995" w:rsidP="00A31995">
      <w:pPr>
        <w:spacing w:after="0"/>
        <w:jc w:val="both"/>
        <w:rPr>
          <w:rFonts w:cs="Arial"/>
          <w:kern w:val="2"/>
          <w:lang w:eastAsia="ja-JP"/>
        </w:rPr>
      </w:pPr>
    </w:p>
    <w:p w14:paraId="4E254D39" w14:textId="77777777" w:rsidR="00633279" w:rsidRDefault="00386420" w:rsidP="00633279">
      <w:pPr>
        <w:spacing w:after="0"/>
        <w:jc w:val="both"/>
        <w:rPr>
          <w:b/>
          <w:u w:val="single"/>
        </w:rPr>
      </w:pPr>
      <w:r>
        <w:rPr>
          <w:rFonts w:cs="Arial"/>
          <w:b/>
          <w:kern w:val="2"/>
          <w:u w:val="single"/>
          <w:lang w:eastAsia="ja-JP"/>
        </w:rPr>
        <w:t>Proposal 4</w:t>
      </w:r>
      <w:r w:rsidR="00633279">
        <w:rPr>
          <w:rFonts w:cs="Arial"/>
          <w:b/>
          <w:kern w:val="2"/>
          <w:u w:val="single"/>
          <w:lang w:eastAsia="ja-JP"/>
        </w:rPr>
        <w:t xml:space="preserve">: For NR-DC in FR1, support </w:t>
      </w:r>
      <w:r>
        <w:rPr>
          <w:rFonts w:cs="Arial"/>
          <w:b/>
          <w:kern w:val="2"/>
          <w:u w:val="single"/>
          <w:lang w:eastAsia="ja-JP"/>
        </w:rPr>
        <w:t>configuration to a UE of available powers for</w:t>
      </w:r>
      <w:r w:rsidR="00D14805">
        <w:rPr>
          <w:rFonts w:cs="Arial"/>
          <w:b/>
          <w:kern w:val="2"/>
          <w:u w:val="single"/>
          <w:lang w:eastAsia="ja-JP"/>
        </w:rPr>
        <w:t xml:space="preserve"> transmissions on the </w:t>
      </w:r>
      <w:r w:rsidR="00633279">
        <w:rPr>
          <w:rFonts w:cs="Arial"/>
          <w:b/>
          <w:kern w:val="2"/>
          <w:u w:val="single"/>
          <w:lang w:eastAsia="ja-JP"/>
        </w:rPr>
        <w:t>MCG and the SCG</w:t>
      </w:r>
      <w:r>
        <w:rPr>
          <w:rFonts w:cs="Arial"/>
          <w:b/>
          <w:kern w:val="2"/>
          <w:u w:val="single"/>
          <w:lang w:eastAsia="ja-JP"/>
        </w:rPr>
        <w:t xml:space="preserve"> and </w:t>
      </w:r>
      <w:r w:rsidR="00D14805">
        <w:rPr>
          <w:rFonts w:cs="Arial"/>
          <w:b/>
          <w:kern w:val="2"/>
          <w:u w:val="single"/>
          <w:lang w:eastAsia="ja-JP"/>
        </w:rPr>
        <w:t xml:space="preserve">indication of </w:t>
      </w:r>
      <w:r>
        <w:rPr>
          <w:rFonts w:cs="Arial"/>
          <w:b/>
          <w:kern w:val="2"/>
          <w:u w:val="single"/>
          <w:lang w:eastAsia="ja-JP"/>
        </w:rPr>
        <w:t xml:space="preserve">whether they are minimum </w:t>
      </w:r>
      <w:r w:rsidR="00D14805">
        <w:rPr>
          <w:rFonts w:cs="Arial"/>
          <w:b/>
          <w:kern w:val="2"/>
          <w:u w:val="single"/>
          <w:lang w:eastAsia="ja-JP"/>
        </w:rPr>
        <w:t xml:space="preserve">powers </w:t>
      </w:r>
      <w:r>
        <w:rPr>
          <w:rFonts w:cs="Arial"/>
          <w:b/>
          <w:kern w:val="2"/>
          <w:u w:val="single"/>
          <w:lang w:eastAsia="ja-JP"/>
        </w:rPr>
        <w:t>or maximum</w:t>
      </w:r>
      <w:r w:rsidR="00D14805">
        <w:rPr>
          <w:rFonts w:cs="Arial"/>
          <w:b/>
          <w:kern w:val="2"/>
          <w:u w:val="single"/>
          <w:lang w:eastAsia="ja-JP"/>
        </w:rPr>
        <w:t xml:space="preserve"> powers</w:t>
      </w:r>
      <w:r w:rsidR="00633279">
        <w:rPr>
          <w:rFonts w:cs="Arial"/>
          <w:b/>
          <w:kern w:val="2"/>
          <w:u w:val="single"/>
          <w:lang w:eastAsia="ja-JP"/>
        </w:rPr>
        <w:t>.</w:t>
      </w:r>
      <w:r w:rsidR="00633279">
        <w:rPr>
          <w:b/>
          <w:u w:val="single"/>
        </w:rPr>
        <w:t xml:space="preserve"> </w:t>
      </w:r>
    </w:p>
    <w:p w14:paraId="18C0C133" w14:textId="5DF89620" w:rsidR="00B67B54" w:rsidRDefault="00B67B54" w:rsidP="00CE086A">
      <w:pPr>
        <w:overflowPunct w:val="0"/>
        <w:autoSpaceDE w:val="0"/>
        <w:autoSpaceDN w:val="0"/>
        <w:adjustRightInd w:val="0"/>
        <w:spacing w:after="0"/>
        <w:jc w:val="both"/>
        <w:textAlignment w:val="baseline"/>
        <w:rPr>
          <w:rFonts w:cs="Arial"/>
          <w:b/>
          <w:kern w:val="2"/>
          <w:u w:val="single"/>
          <w:lang w:eastAsia="ja-JP"/>
        </w:rPr>
      </w:pPr>
    </w:p>
    <w:p w14:paraId="24A42650" w14:textId="485E98FD" w:rsidR="009E771D" w:rsidRDefault="009E771D" w:rsidP="00CE086A">
      <w:pPr>
        <w:overflowPunct w:val="0"/>
        <w:autoSpaceDE w:val="0"/>
        <w:autoSpaceDN w:val="0"/>
        <w:adjustRightInd w:val="0"/>
        <w:spacing w:after="0"/>
        <w:jc w:val="both"/>
        <w:textAlignment w:val="baseline"/>
        <w:rPr>
          <w:rFonts w:cs="Arial"/>
          <w:b/>
          <w:kern w:val="2"/>
          <w:u w:val="single"/>
          <w:lang w:eastAsia="ja-JP"/>
        </w:rPr>
      </w:pPr>
    </w:p>
    <w:p w14:paraId="71C76231" w14:textId="2B5D1842" w:rsidR="005B7EC5" w:rsidRDefault="005B7EC5" w:rsidP="005B7EC5">
      <w:pPr>
        <w:spacing w:after="120"/>
        <w:jc w:val="both"/>
        <w:rPr>
          <w:rFonts w:cs="Arial"/>
          <w:b/>
          <w:kern w:val="2"/>
          <w:u w:val="single"/>
          <w:lang w:eastAsia="ja-JP"/>
        </w:rPr>
      </w:pPr>
      <w:r>
        <w:rPr>
          <w:rFonts w:cs="Arial"/>
          <w:b/>
          <w:kern w:val="2"/>
          <w:u w:val="single"/>
          <w:lang w:eastAsia="ja-JP"/>
        </w:rPr>
        <w:t>Maximum power per CG</w:t>
      </w:r>
    </w:p>
    <w:p w14:paraId="701FF826" w14:textId="756DC8E6" w:rsidR="009E771D" w:rsidRDefault="005B7EC5" w:rsidP="005B7EC5">
      <w:pPr>
        <w:overflowPunct w:val="0"/>
        <w:autoSpaceDE w:val="0"/>
        <w:autoSpaceDN w:val="0"/>
        <w:adjustRightInd w:val="0"/>
        <w:spacing w:after="0"/>
        <w:jc w:val="both"/>
        <w:textAlignment w:val="baseline"/>
        <w:rPr>
          <w:rFonts w:cs="Arial"/>
          <w:kern w:val="2"/>
          <w:lang w:eastAsia="ja-JP"/>
        </w:rPr>
      </w:pPr>
      <w:r>
        <w:t xml:space="preserve">Similar to NE-DC, when the UE transmit on a CG and the UE knows there is no chance of transmission on the other CG (e.g. TDD operation), the maximum transmission power on the CG can be </w:t>
      </w:r>
      <w:r w:rsidRPr="007D01DD">
        <w:rPr>
          <w:position w:val="-12"/>
        </w:rPr>
        <w:object w:dxaOrig="620" w:dyaOrig="360" w14:anchorId="067D1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7pt" o:ole="">
            <v:imagedata r:id="rId9" o:title=""/>
          </v:shape>
          <o:OLEObject Type="Embed" ProgID="Equation.DSMT4" ShapeID="_x0000_i1025" DrawAspect="Content" ObjectID="_1627313809" r:id="rId10"/>
        </w:object>
      </w:r>
      <w:r>
        <w:t>. There is no apparent need to separately configure a maximum transmission power per slot as, for this to be meaningful, it would require corresponding backhaul signaling and then it can be handled by implementation.</w:t>
      </w:r>
    </w:p>
    <w:p w14:paraId="02473735" w14:textId="782FC34C" w:rsidR="005B7EC5" w:rsidRDefault="005B7EC5" w:rsidP="005B7EC5">
      <w:pPr>
        <w:overflowPunct w:val="0"/>
        <w:autoSpaceDE w:val="0"/>
        <w:autoSpaceDN w:val="0"/>
        <w:adjustRightInd w:val="0"/>
        <w:spacing w:after="0"/>
        <w:jc w:val="both"/>
        <w:textAlignment w:val="baseline"/>
        <w:rPr>
          <w:rFonts w:cs="Arial"/>
          <w:kern w:val="2"/>
          <w:lang w:eastAsia="ja-JP"/>
        </w:rPr>
      </w:pPr>
    </w:p>
    <w:p w14:paraId="5B642F0C" w14:textId="6F2EE756" w:rsidR="005B7EC5" w:rsidRPr="008A7AC8" w:rsidRDefault="005B7EC5" w:rsidP="008A7AC8">
      <w:pPr>
        <w:spacing w:after="0"/>
        <w:jc w:val="both"/>
        <w:rPr>
          <w:b/>
          <w:u w:val="single"/>
        </w:rPr>
      </w:pPr>
      <w:r w:rsidRPr="008A7AC8">
        <w:rPr>
          <w:rFonts w:cs="Arial"/>
          <w:b/>
          <w:kern w:val="2"/>
          <w:u w:val="single"/>
          <w:lang w:eastAsia="ja-JP"/>
        </w:rPr>
        <w:t xml:space="preserve">Proposal 5: </w:t>
      </w:r>
      <w:r w:rsidR="008A7AC8" w:rsidRPr="008A7AC8">
        <w:rPr>
          <w:rFonts w:cs="Arial"/>
          <w:b/>
          <w:kern w:val="2"/>
          <w:u w:val="single"/>
          <w:lang w:eastAsia="ja-JP"/>
        </w:rPr>
        <w:t>T</w:t>
      </w:r>
      <w:r w:rsidRPr="008A7AC8">
        <w:rPr>
          <w:rFonts w:cs="Arial"/>
          <w:b/>
          <w:kern w:val="2"/>
          <w:u w:val="single"/>
          <w:lang w:eastAsia="ja-JP"/>
        </w:rPr>
        <w:t xml:space="preserve">he maximum transmission power on a CG can be </w:t>
      </w:r>
      <w:r w:rsidRPr="008A7AC8">
        <w:rPr>
          <w:b/>
          <w:position w:val="-12"/>
          <w:u w:val="single"/>
        </w:rPr>
        <w:object w:dxaOrig="620" w:dyaOrig="360" w14:anchorId="4A8BE09F">
          <v:shape id="_x0000_i1026" type="#_x0000_t75" style="width:27.85pt;height:14.7pt" o:ole="">
            <v:imagedata r:id="rId9" o:title=""/>
          </v:shape>
          <o:OLEObject Type="Embed" ProgID="Equation.DSMT4" ShapeID="_x0000_i1026" DrawAspect="Content" ObjectID="_1627313810" r:id="rId11"/>
        </w:object>
      </w:r>
      <w:r w:rsidRPr="008A7AC8">
        <w:rPr>
          <w:b/>
          <w:u w:val="single"/>
        </w:rPr>
        <w:t xml:space="preserve"> when </w:t>
      </w:r>
      <w:r w:rsidR="008A7AC8" w:rsidRPr="008A7AC8">
        <w:rPr>
          <w:b/>
          <w:u w:val="single"/>
        </w:rPr>
        <w:t xml:space="preserve">there is no overlapping transmission on the other CG based on an UL-DL TDD configuration on the other CG. </w:t>
      </w:r>
    </w:p>
    <w:p w14:paraId="7DD18CAF" w14:textId="77777777" w:rsidR="005B7EC5" w:rsidRDefault="005B7EC5" w:rsidP="005B7EC5">
      <w:pPr>
        <w:overflowPunct w:val="0"/>
        <w:autoSpaceDE w:val="0"/>
        <w:autoSpaceDN w:val="0"/>
        <w:adjustRightInd w:val="0"/>
        <w:spacing w:after="0"/>
        <w:jc w:val="both"/>
        <w:textAlignment w:val="baseline"/>
        <w:rPr>
          <w:rFonts w:cs="Arial"/>
          <w:b/>
          <w:kern w:val="2"/>
          <w:u w:val="single"/>
          <w:lang w:eastAsia="ja-JP"/>
        </w:rPr>
      </w:pPr>
    </w:p>
    <w:p w14:paraId="35C0809E" w14:textId="77777777"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351304FE" w14:textId="77777777" w:rsidR="00236222" w:rsidRPr="00BF18A8" w:rsidRDefault="00236222" w:rsidP="00236222">
      <w:pPr>
        <w:pStyle w:val="Heading1"/>
        <w:spacing w:before="0" w:after="60"/>
        <w:rPr>
          <w:lang w:val="en-US" w:eastAsia="ko-KR"/>
        </w:rPr>
      </w:pPr>
      <w:r w:rsidRPr="00BF18A8">
        <w:rPr>
          <w:lang w:val="en-US" w:eastAsia="ko-KR"/>
        </w:rPr>
        <w:t>Conclusions</w:t>
      </w:r>
    </w:p>
    <w:p w14:paraId="35B344B6" w14:textId="7F469EC2"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w:t>
      </w:r>
      <w:r w:rsidR="00673F7F">
        <w:t xml:space="preserve"> for </w:t>
      </w:r>
      <w:r w:rsidR="00D14805">
        <w:t xml:space="preserve">Rel-16 </w:t>
      </w:r>
      <w:r w:rsidR="008F48BF">
        <w:t>NR-DC</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2D89A1B6" w14:textId="77777777" w:rsidR="00D14805" w:rsidRDefault="00D14805" w:rsidP="00D14805">
      <w:pPr>
        <w:spacing w:after="0"/>
        <w:jc w:val="both"/>
        <w:rPr>
          <w:rFonts w:cs="Arial"/>
          <w:b/>
          <w:kern w:val="2"/>
          <w:u w:val="single"/>
          <w:lang w:eastAsia="ja-JP"/>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 xml:space="preserve">For NR-DC in FR1, support inter-CG dynamic sharing of UE transmission power. </w:t>
      </w:r>
    </w:p>
    <w:p w14:paraId="140D856F" w14:textId="77777777" w:rsidR="00D14805" w:rsidRDefault="00D14805" w:rsidP="00D14805">
      <w:pPr>
        <w:spacing w:after="0"/>
        <w:jc w:val="both"/>
        <w:rPr>
          <w:rFonts w:cs="Arial"/>
          <w:b/>
          <w:kern w:val="2"/>
          <w:u w:val="single"/>
          <w:lang w:eastAsia="ja-JP"/>
        </w:rPr>
      </w:pPr>
    </w:p>
    <w:p w14:paraId="5E3174D7" w14:textId="4DBEBF07" w:rsidR="00937326" w:rsidRDefault="00937326" w:rsidP="00937326">
      <w:pPr>
        <w:spacing w:after="0"/>
        <w:jc w:val="both"/>
        <w:rPr>
          <w:b/>
          <w:u w:val="single"/>
        </w:rPr>
      </w:pPr>
      <w:r>
        <w:rPr>
          <w:rFonts w:cs="Arial"/>
          <w:b/>
          <w:kern w:val="2"/>
          <w:u w:val="single"/>
          <w:lang w:eastAsia="ja-JP"/>
        </w:rPr>
        <w:t>Proposal 2: Introduce a UE capability for a UE to indicate whether or not, for determining a power at a transmission occasion, the</w:t>
      </w:r>
      <w:r>
        <w:rPr>
          <w:b/>
          <w:u w:val="single"/>
        </w:rPr>
        <w:t xml:space="preserve"> UE can consider a power for a later scheduled overlapping transmission subject to Rel-15 timelines for determining a channel among overlapping channels for UCI multiplexing. </w:t>
      </w:r>
    </w:p>
    <w:p w14:paraId="42D2C892" w14:textId="77777777" w:rsidR="008E4879" w:rsidRDefault="008E4879" w:rsidP="008E4879">
      <w:pPr>
        <w:spacing w:after="0"/>
        <w:jc w:val="both"/>
        <w:rPr>
          <w:b/>
          <w:u w:val="single"/>
        </w:rPr>
      </w:pPr>
    </w:p>
    <w:p w14:paraId="3C2DC22B" w14:textId="77777777" w:rsidR="00B35D8D" w:rsidRDefault="00B35D8D" w:rsidP="00B35D8D">
      <w:pPr>
        <w:spacing w:after="0"/>
        <w:jc w:val="both"/>
        <w:rPr>
          <w:rFonts w:cs="Arial"/>
          <w:b/>
          <w:kern w:val="2"/>
          <w:u w:val="single"/>
          <w:lang w:eastAsia="ja-JP"/>
        </w:rPr>
      </w:pPr>
      <w:r>
        <w:rPr>
          <w:rFonts w:cs="Arial"/>
          <w:b/>
          <w:kern w:val="2"/>
          <w:u w:val="single"/>
          <w:lang w:eastAsia="ja-JP"/>
        </w:rPr>
        <w:t>Proposal 3: Re-use the Rel-15 EN-DC framework for determining scaling of transmission power and actual/virtual PHR.</w:t>
      </w:r>
    </w:p>
    <w:p w14:paraId="696FDBDA" w14:textId="77777777" w:rsidR="003B389B" w:rsidRDefault="003B389B" w:rsidP="00C651C5">
      <w:pPr>
        <w:spacing w:after="0"/>
        <w:jc w:val="both"/>
        <w:rPr>
          <w:lang w:eastAsia="ko-KR"/>
        </w:rPr>
      </w:pPr>
    </w:p>
    <w:p w14:paraId="03521F34" w14:textId="77777777" w:rsidR="00D14805" w:rsidRDefault="00D14805" w:rsidP="00D14805">
      <w:pPr>
        <w:spacing w:after="0"/>
        <w:jc w:val="both"/>
        <w:rPr>
          <w:b/>
          <w:u w:val="single"/>
        </w:rPr>
      </w:pPr>
      <w:r>
        <w:rPr>
          <w:rFonts w:cs="Arial"/>
          <w:b/>
          <w:kern w:val="2"/>
          <w:u w:val="single"/>
          <w:lang w:eastAsia="ja-JP"/>
        </w:rPr>
        <w:t>Proposal 4: For NR-DC in FR1, support configuration to a UE of available powers for transmissions on the MCG and the SCG and indication of whether they are minimum powers or maximum powers.</w:t>
      </w:r>
      <w:r>
        <w:rPr>
          <w:b/>
          <w:u w:val="single"/>
        </w:rPr>
        <w:t xml:space="preserve"> </w:t>
      </w:r>
    </w:p>
    <w:p w14:paraId="0083BBAD" w14:textId="77777777" w:rsidR="008E4879" w:rsidRDefault="008E4879" w:rsidP="00C651C5">
      <w:pPr>
        <w:spacing w:after="0"/>
        <w:jc w:val="both"/>
        <w:rPr>
          <w:lang w:eastAsia="ko-KR"/>
        </w:rPr>
      </w:pPr>
    </w:p>
    <w:p w14:paraId="2F8A6060" w14:textId="77777777" w:rsidR="008A7AC8" w:rsidRPr="008A7AC8" w:rsidRDefault="008A7AC8" w:rsidP="008A7AC8">
      <w:pPr>
        <w:spacing w:after="0"/>
        <w:jc w:val="both"/>
        <w:rPr>
          <w:b/>
          <w:u w:val="single"/>
        </w:rPr>
      </w:pPr>
      <w:r w:rsidRPr="008A7AC8">
        <w:rPr>
          <w:rFonts w:cs="Arial"/>
          <w:b/>
          <w:kern w:val="2"/>
          <w:u w:val="single"/>
          <w:lang w:eastAsia="ja-JP"/>
        </w:rPr>
        <w:t xml:space="preserve">Proposal 5: The maximum transmission power on a CG can be </w:t>
      </w:r>
      <w:r w:rsidRPr="008A7AC8">
        <w:rPr>
          <w:b/>
          <w:position w:val="-12"/>
          <w:u w:val="single"/>
        </w:rPr>
        <w:object w:dxaOrig="620" w:dyaOrig="360" w14:anchorId="17799D0B">
          <v:shape id="_x0000_i1027" type="#_x0000_t75" style="width:27.85pt;height:14.7pt" o:ole="">
            <v:imagedata r:id="rId9" o:title=""/>
          </v:shape>
          <o:OLEObject Type="Embed" ProgID="Equation.DSMT4" ShapeID="_x0000_i1027" DrawAspect="Content" ObjectID="_1627313811" r:id="rId12"/>
        </w:object>
      </w:r>
      <w:r w:rsidRPr="008A7AC8">
        <w:rPr>
          <w:b/>
          <w:u w:val="single"/>
        </w:rPr>
        <w:t xml:space="preserve"> when there is no overlapping transmission on the other CG based on an UL-DL TDD configuration on the other CG. </w:t>
      </w:r>
    </w:p>
    <w:p w14:paraId="05E14935" w14:textId="5345705C" w:rsidR="0084581D" w:rsidRDefault="0084581D" w:rsidP="00C651C5">
      <w:pPr>
        <w:spacing w:after="0"/>
        <w:jc w:val="both"/>
        <w:rPr>
          <w:lang w:eastAsia="ko-KR"/>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864E05" w14:textId="77777777" w:rsidR="00006FFB" w:rsidRPr="00D14805" w:rsidRDefault="0034136F" w:rsidP="00D14805">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sectPr w:rsidR="00006FFB" w:rsidRPr="00D14805"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37D75" w14:textId="77777777" w:rsidR="00DB4411" w:rsidRPr="00C47AD2" w:rsidRDefault="00DB4411">
      <w:pPr>
        <w:rPr>
          <w:rFonts w:ascii="Arial" w:hAnsi="Arial"/>
          <w:sz w:val="12"/>
        </w:rPr>
      </w:pPr>
      <w:r>
        <w:separator/>
      </w:r>
    </w:p>
  </w:endnote>
  <w:endnote w:type="continuationSeparator" w:id="0">
    <w:p w14:paraId="744F4874" w14:textId="77777777" w:rsidR="00DB4411" w:rsidRPr="00C47AD2" w:rsidRDefault="00DB441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B51340">
      <w:rPr>
        <w:rStyle w:val="PageNumber"/>
      </w:rPr>
      <w:t>3</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5BE20" w14:textId="77777777" w:rsidR="00DB4411" w:rsidRPr="00C47AD2" w:rsidRDefault="00DB4411">
      <w:pPr>
        <w:rPr>
          <w:rFonts w:ascii="Arial" w:hAnsi="Arial"/>
          <w:sz w:val="12"/>
        </w:rPr>
      </w:pPr>
      <w:r>
        <w:separator/>
      </w:r>
    </w:p>
  </w:footnote>
  <w:footnote w:type="continuationSeparator" w:id="0">
    <w:p w14:paraId="769A0E61" w14:textId="77777777" w:rsidR="00DB4411" w:rsidRPr="00C47AD2" w:rsidRDefault="00DB441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8"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3" w15:restartNumberingAfterBreak="0">
    <w:nsid w:val="638F38C6"/>
    <w:multiLevelType w:val="hybridMultilevel"/>
    <w:tmpl w:val="A33CE526"/>
    <w:lvl w:ilvl="0" w:tplc="BC546BD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825940"/>
    <w:multiLevelType w:val="hybridMultilevel"/>
    <w:tmpl w:val="E326D0F8"/>
    <w:lvl w:ilvl="0" w:tplc="B652E6FA">
      <w:start w:val="1"/>
      <w:numFmt w:val="bullet"/>
      <w:lvlText w:val="•"/>
      <w:lvlJc w:val="left"/>
      <w:pPr>
        <w:ind w:left="746" w:hanging="360"/>
      </w:pPr>
      <w:rPr>
        <w:rFonts w:ascii="Batang" w:eastAsia="Batang" w:hAnsi="Batang" w:hint="eastAsia"/>
      </w:rPr>
    </w:lvl>
    <w:lvl w:ilvl="1" w:tplc="04090003">
      <w:start w:val="1"/>
      <w:numFmt w:val="bullet"/>
      <w:lvlText w:val="–"/>
      <w:lvlJc w:val="left"/>
      <w:pPr>
        <w:ind w:left="1186" w:hanging="400"/>
      </w:pPr>
      <w:rPr>
        <w:rFonts w:ascii="Malgun Gothic" w:eastAsia="Malgun Gothic" w:hAnsi="Malgun Gothic" w:hint="eastAsia"/>
      </w:rPr>
    </w:lvl>
    <w:lvl w:ilvl="2" w:tplc="04090005">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9"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1"/>
  </w:num>
  <w:num w:numId="7">
    <w:abstractNumId w:val="16"/>
  </w:num>
  <w:num w:numId="8">
    <w:abstractNumId w:val="14"/>
  </w:num>
  <w:num w:numId="9">
    <w:abstractNumId w:val="27"/>
  </w:num>
  <w:num w:numId="10">
    <w:abstractNumId w:val="5"/>
  </w:num>
  <w:num w:numId="11">
    <w:abstractNumId w:val="7"/>
  </w:num>
  <w:num w:numId="12">
    <w:abstractNumId w:val="2"/>
  </w:num>
  <w:num w:numId="13">
    <w:abstractNumId w:val="30"/>
  </w:num>
  <w:num w:numId="14">
    <w:abstractNumId w:val="20"/>
  </w:num>
  <w:num w:numId="15">
    <w:abstractNumId w:val="28"/>
  </w:num>
  <w:num w:numId="16">
    <w:abstractNumId w:val="4"/>
  </w:num>
  <w:num w:numId="17">
    <w:abstractNumId w:val="3"/>
  </w:num>
  <w:num w:numId="18">
    <w:abstractNumId w:val="17"/>
  </w:num>
  <w:num w:numId="19">
    <w:abstractNumId w:val="22"/>
  </w:num>
  <w:num w:numId="20">
    <w:abstractNumId w:val="21"/>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18"/>
  </w:num>
  <w:num w:numId="40">
    <w:abstractNumId w:val="23"/>
  </w:num>
  <w:num w:numId="41">
    <w:abstractNumId w:val="8"/>
  </w:num>
  <w:num w:numId="42">
    <w:abstractNumId w:val="8"/>
  </w:num>
  <w:num w:numId="43">
    <w:abstractNumId w:val="19"/>
  </w:num>
  <w:num w:numId="44">
    <w:abstractNumId w:val="9"/>
  </w:num>
  <w:num w:numId="45">
    <w:abstractNumId w:val="25"/>
  </w:num>
  <w:num w:numId="46">
    <w:abstractNumId w:val="6"/>
  </w:num>
  <w:num w:numId="47">
    <w:abstractNumId w:val="12"/>
  </w:num>
  <w:num w:numId="48">
    <w:abstractNumId w:val="29"/>
  </w:num>
  <w:num w:numId="49">
    <w:abstractNumId w:val="24"/>
  </w:num>
  <w:num w:numId="5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496"/>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319"/>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411"/>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1554F-F046-45A9-8E74-3DC4B098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Pages>
  <Words>1367</Words>
  <Characters>7797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27</cp:revision>
  <cp:lastPrinted>2010-03-24T02:20:00Z</cp:lastPrinted>
  <dcterms:created xsi:type="dcterms:W3CDTF">2019-08-13T23:56:00Z</dcterms:created>
  <dcterms:modified xsi:type="dcterms:W3CDTF">2019-08-14T23:13:00Z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